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644" w:rsidRDefault="006A5232" w:rsidP="006A5232">
      <w:pPr>
        <w:spacing w:after="0" w:line="240" w:lineRule="auto"/>
        <w:jc w:val="center"/>
        <w:rPr>
          <w:rFonts w:eastAsia="Calibri" w:cs="Times New Roman"/>
          <w:b/>
          <w:color w:val="000000"/>
          <w:sz w:val="26"/>
          <w:szCs w:val="26"/>
        </w:rPr>
      </w:pPr>
      <w:r w:rsidRPr="007959DE">
        <w:rPr>
          <w:rFonts w:eastAsia="Calibri" w:cs="Times New Roman"/>
          <w:b/>
          <w:color w:val="000000"/>
          <w:sz w:val="26"/>
          <w:szCs w:val="26"/>
        </w:rPr>
        <w:t xml:space="preserve">DANH MỤC THỦ TỤC HÀNH CHÍNH CẤP TỈNH </w:t>
      </w:r>
      <w:r>
        <w:rPr>
          <w:rFonts w:eastAsia="Calibri" w:cs="Times New Roman"/>
          <w:b/>
          <w:color w:val="000000"/>
          <w:sz w:val="26"/>
          <w:szCs w:val="26"/>
        </w:rPr>
        <w:t>MỚI BAN HÀNH</w:t>
      </w:r>
      <w:r w:rsidRPr="007959DE">
        <w:rPr>
          <w:rFonts w:eastAsia="Calibri" w:cs="Times New Roman"/>
          <w:b/>
          <w:color w:val="000000"/>
          <w:sz w:val="26"/>
          <w:szCs w:val="26"/>
          <w:lang w:val="vi-VN"/>
        </w:rPr>
        <w:t xml:space="preserve"> TRONG </w:t>
      </w:r>
      <w:r w:rsidRPr="007959DE">
        <w:rPr>
          <w:rFonts w:eastAsia="Calibri" w:cs="Times New Roman"/>
          <w:b/>
          <w:color w:val="000000"/>
          <w:sz w:val="26"/>
          <w:szCs w:val="26"/>
        </w:rPr>
        <w:t>LĨNH VỰC</w:t>
      </w:r>
      <w:r w:rsidRPr="007959DE">
        <w:rPr>
          <w:rFonts w:eastAsia="Calibri" w:cs="Times New Roman"/>
          <w:b/>
          <w:color w:val="000000"/>
          <w:sz w:val="26"/>
          <w:szCs w:val="26"/>
          <w:lang w:val="vi-VN"/>
        </w:rPr>
        <w:t xml:space="preserve"> </w:t>
      </w:r>
      <w:r>
        <w:rPr>
          <w:rFonts w:eastAsia="Calibri" w:cs="Times New Roman"/>
          <w:b/>
          <w:color w:val="000000"/>
          <w:sz w:val="26"/>
          <w:szCs w:val="26"/>
        </w:rPr>
        <w:t>ĐĂNG KÝ KIN</w:t>
      </w:r>
      <w:bookmarkStart w:id="0" w:name="_GoBack"/>
      <w:bookmarkEnd w:id="0"/>
      <w:r>
        <w:rPr>
          <w:rFonts w:eastAsia="Calibri" w:cs="Times New Roman"/>
          <w:b/>
          <w:color w:val="000000"/>
          <w:sz w:val="26"/>
          <w:szCs w:val="26"/>
        </w:rPr>
        <w:t xml:space="preserve">H DOANH </w:t>
      </w:r>
    </w:p>
    <w:p w:rsidR="006A5232" w:rsidRPr="007959DE" w:rsidRDefault="006A5232" w:rsidP="006A5232">
      <w:pPr>
        <w:spacing w:after="0" w:line="240" w:lineRule="auto"/>
        <w:jc w:val="center"/>
        <w:rPr>
          <w:rFonts w:eastAsia="Calibri" w:cs="Times New Roman"/>
          <w:b/>
          <w:bCs/>
          <w:color w:val="000000"/>
          <w:sz w:val="26"/>
          <w:szCs w:val="26"/>
        </w:rPr>
      </w:pPr>
      <w:r>
        <w:rPr>
          <w:rFonts w:eastAsia="Calibri" w:cs="Times New Roman"/>
          <w:b/>
          <w:color w:val="000000"/>
          <w:sz w:val="26"/>
          <w:szCs w:val="26"/>
        </w:rPr>
        <w:t xml:space="preserve">TỔ CHỨC KHOA HỌC VÀ CÔNG NGHỆ </w:t>
      </w:r>
      <w:r w:rsidRPr="007959DE">
        <w:rPr>
          <w:rFonts w:eastAsia="Calibri" w:cs="Times New Roman"/>
          <w:b/>
          <w:bCs/>
          <w:color w:val="000000"/>
          <w:sz w:val="26"/>
          <w:szCs w:val="26"/>
        </w:rPr>
        <w:t>THUỘC</w:t>
      </w:r>
      <w:r w:rsidRPr="007959DE">
        <w:rPr>
          <w:rFonts w:eastAsia="Calibri" w:cs="Times New Roman"/>
          <w:b/>
          <w:bCs/>
          <w:color w:val="000000"/>
          <w:sz w:val="26"/>
          <w:szCs w:val="26"/>
          <w:lang w:val="vi-VN"/>
        </w:rPr>
        <w:t xml:space="preserve"> </w:t>
      </w:r>
      <w:r w:rsidRPr="007959DE">
        <w:rPr>
          <w:rFonts w:eastAsia="Calibri" w:cs="Times New Roman"/>
          <w:b/>
          <w:bCs/>
          <w:color w:val="000000"/>
          <w:sz w:val="26"/>
          <w:szCs w:val="26"/>
        </w:rPr>
        <w:t xml:space="preserve">PHẠM VI CHỨC NĂNG QUẢN </w:t>
      </w:r>
      <w:r w:rsidRPr="007959DE">
        <w:rPr>
          <w:rFonts w:eastAsia="Calibri" w:cs="Times New Roman"/>
          <w:b/>
          <w:bCs/>
          <w:color w:val="000000"/>
          <w:sz w:val="26"/>
          <w:szCs w:val="26"/>
          <w:lang w:val="vi-VN"/>
        </w:rPr>
        <w:t>LÝ NHÀ NƯỚC</w:t>
      </w:r>
      <w:r w:rsidRPr="007959DE">
        <w:rPr>
          <w:rFonts w:eastAsia="Calibri" w:cs="Times New Roman"/>
          <w:b/>
          <w:bCs/>
          <w:color w:val="000000"/>
          <w:sz w:val="26"/>
          <w:szCs w:val="26"/>
        </w:rPr>
        <w:t xml:space="preserve"> CỦA SỞ </w:t>
      </w:r>
      <w:r>
        <w:rPr>
          <w:rFonts w:eastAsia="Calibri" w:cs="Times New Roman"/>
          <w:b/>
          <w:bCs/>
          <w:color w:val="000000"/>
          <w:sz w:val="26"/>
          <w:szCs w:val="26"/>
        </w:rPr>
        <w:t>TÀI CHÍNH</w:t>
      </w:r>
    </w:p>
    <w:p w:rsidR="006A5232" w:rsidRPr="007959DE" w:rsidRDefault="006A5232" w:rsidP="006A5232">
      <w:pPr>
        <w:spacing w:after="0" w:line="240" w:lineRule="auto"/>
        <w:jc w:val="center"/>
        <w:rPr>
          <w:rFonts w:eastAsia="Calibri" w:cs="Times New Roman"/>
          <w:i/>
          <w:color w:val="000000"/>
          <w:sz w:val="26"/>
          <w:szCs w:val="26"/>
        </w:rPr>
      </w:pPr>
      <w:r w:rsidRPr="007959DE">
        <w:rPr>
          <w:rFonts w:eastAsia="Calibri" w:cs="Times New Roman"/>
          <w:i/>
          <w:color w:val="000000"/>
          <w:sz w:val="26"/>
          <w:szCs w:val="26"/>
        </w:rPr>
        <w:t xml:space="preserve"> (Kèm theo Quyết định số          /QĐ-UBND ngày         /12/2025 của Chủ tịch Ủy ban nhân dân tỉnh Hưng Yên)</w:t>
      </w:r>
    </w:p>
    <w:p w:rsidR="006A5232" w:rsidRPr="007959DE" w:rsidRDefault="006A5232" w:rsidP="006A5232">
      <w:pPr>
        <w:spacing w:after="0" w:line="240" w:lineRule="auto"/>
        <w:jc w:val="center"/>
        <w:rPr>
          <w:rFonts w:eastAsia="Calibri" w:cs="Times New Roman"/>
          <w:i/>
          <w:color w:val="000000"/>
          <w:sz w:val="26"/>
          <w:szCs w:val="26"/>
        </w:rPr>
      </w:pPr>
      <w:r w:rsidRPr="007959DE">
        <w:rPr>
          <w:rFonts w:eastAsia="Calibri" w:cs="Times New Roman"/>
          <w:i/>
          <w:noProof/>
          <w:color w:val="000000"/>
          <w:sz w:val="26"/>
          <w:szCs w:val="26"/>
        </w:rPr>
        <mc:AlternateContent>
          <mc:Choice Requires="wps">
            <w:drawing>
              <wp:anchor distT="0" distB="0" distL="114300" distR="114300" simplePos="0" relativeHeight="251659264" behindDoc="0" locked="0" layoutInCell="1" allowOverlap="1" wp14:anchorId="69383B02" wp14:editId="2D3C9A36">
                <wp:simplePos x="0" y="0"/>
                <wp:positionH relativeFrom="column">
                  <wp:posOffset>3347085</wp:posOffset>
                </wp:positionH>
                <wp:positionV relativeFrom="paragraph">
                  <wp:posOffset>20320</wp:posOffset>
                </wp:positionV>
                <wp:extent cx="2644775" cy="0"/>
                <wp:effectExtent l="0" t="0" r="22225" b="19050"/>
                <wp:wrapNone/>
                <wp:docPr id="1" name="Straight Connector 1"/>
                <wp:cNvGraphicFramePr/>
                <a:graphic xmlns:a="http://schemas.openxmlformats.org/drawingml/2006/main">
                  <a:graphicData uri="http://schemas.microsoft.com/office/word/2010/wordprocessingShape">
                    <wps:wsp>
                      <wps:cNvCnPr/>
                      <wps:spPr>
                        <a:xfrm flipV="1">
                          <a:off x="0" y="0"/>
                          <a:ext cx="26447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55pt,1.6pt" to="471.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" strokecolor="windowText" strokeweight=".5pt">
                <v:stroke joinstyle="miter"/>
              </v:line>
            </w:pict>
          </mc:Fallback>
        </mc:AlternateContent>
      </w:r>
    </w:p>
    <w:tbl>
      <w:tblPr>
        <w:tblStyle w:val="TableGrid"/>
        <w:tblW w:w="14742" w:type="dxa"/>
        <w:tblInd w:w="108" w:type="dxa"/>
        <w:tblLook w:val="04A0" w:firstRow="1" w:lastRow="0" w:firstColumn="1" w:lastColumn="0" w:noHBand="0" w:noVBand="1"/>
      </w:tblPr>
      <w:tblGrid>
        <w:gridCol w:w="566"/>
        <w:gridCol w:w="1191"/>
        <w:gridCol w:w="2096"/>
        <w:gridCol w:w="3660"/>
        <w:gridCol w:w="849"/>
        <w:gridCol w:w="918"/>
        <w:gridCol w:w="5462"/>
      </w:tblGrid>
      <w:tr w:rsidR="006A5232" w:rsidRPr="007959DE" w:rsidTr="00F04BDC">
        <w:trPr>
          <w:trHeight w:val="84"/>
        </w:trPr>
        <w:tc>
          <w:tcPr>
            <w:tcW w:w="566" w:type="dxa"/>
            <w:vMerge w:val="restart"/>
            <w:vAlign w:val="center"/>
          </w:tcPr>
          <w:p w:rsidR="006A5232" w:rsidRPr="007959DE" w:rsidRDefault="006A5232" w:rsidP="0025774A">
            <w:pPr>
              <w:spacing w:afterLines="60" w:after="144"/>
              <w:jc w:val="center"/>
              <w:rPr>
                <w:rFonts w:eastAsia="Calibri" w:cs="Times New Roman"/>
                <w:b/>
                <w:color w:val="000000"/>
                <w:sz w:val="26"/>
                <w:szCs w:val="26"/>
              </w:rPr>
            </w:pPr>
            <w:r w:rsidRPr="007959DE">
              <w:rPr>
                <w:rFonts w:eastAsia="Calibri" w:cs="Times New Roman"/>
                <w:b/>
                <w:color w:val="000000"/>
                <w:sz w:val="26"/>
                <w:szCs w:val="26"/>
              </w:rPr>
              <w:t>Stt</w:t>
            </w:r>
          </w:p>
        </w:tc>
        <w:tc>
          <w:tcPr>
            <w:tcW w:w="1191" w:type="dxa"/>
            <w:vMerge w:val="restart"/>
            <w:vAlign w:val="center"/>
          </w:tcPr>
          <w:p w:rsidR="006A5232" w:rsidRPr="007959DE" w:rsidRDefault="006A5232" w:rsidP="0025774A">
            <w:pPr>
              <w:spacing w:afterLines="300" w:after="720"/>
              <w:jc w:val="center"/>
              <w:rPr>
                <w:rFonts w:eastAsia="Calibri" w:cs="Times New Roman"/>
                <w:b/>
                <w:color w:val="000000"/>
                <w:sz w:val="26"/>
                <w:szCs w:val="26"/>
              </w:rPr>
            </w:pPr>
            <w:r w:rsidRPr="007959DE">
              <w:rPr>
                <w:rFonts w:eastAsia="Calibri" w:cs="Times New Roman"/>
                <w:b/>
                <w:color w:val="000000"/>
                <w:sz w:val="26"/>
                <w:szCs w:val="26"/>
              </w:rPr>
              <w:t>Mã số TTHC</w:t>
            </w:r>
          </w:p>
        </w:tc>
        <w:tc>
          <w:tcPr>
            <w:tcW w:w="2096" w:type="dxa"/>
            <w:vMerge w:val="restart"/>
            <w:vAlign w:val="center"/>
          </w:tcPr>
          <w:p w:rsidR="006A5232" w:rsidRPr="007959DE" w:rsidRDefault="006A5232" w:rsidP="0025774A">
            <w:pPr>
              <w:spacing w:afterLines="60" w:after="144"/>
              <w:jc w:val="center"/>
              <w:rPr>
                <w:rFonts w:eastAsia="Calibri" w:cs="Times New Roman"/>
                <w:b/>
                <w:color w:val="000000"/>
                <w:sz w:val="26"/>
                <w:szCs w:val="26"/>
              </w:rPr>
            </w:pPr>
            <w:r w:rsidRPr="007959DE">
              <w:rPr>
                <w:rFonts w:eastAsia="Calibri" w:cs="Times New Roman"/>
                <w:b/>
                <w:color w:val="000000"/>
                <w:sz w:val="26"/>
                <w:szCs w:val="26"/>
              </w:rPr>
              <w:t>Tên TTHC</w:t>
            </w:r>
          </w:p>
        </w:tc>
        <w:tc>
          <w:tcPr>
            <w:tcW w:w="3660" w:type="dxa"/>
            <w:vMerge w:val="restart"/>
            <w:vAlign w:val="center"/>
          </w:tcPr>
          <w:p w:rsidR="006A5232" w:rsidRPr="007959DE" w:rsidRDefault="006A5232" w:rsidP="0025774A">
            <w:pPr>
              <w:spacing w:after="120"/>
              <w:jc w:val="center"/>
              <w:rPr>
                <w:rFonts w:eastAsia="Calibri" w:cs="Times New Roman"/>
                <w:b/>
                <w:color w:val="000000"/>
                <w:sz w:val="26"/>
                <w:szCs w:val="26"/>
                <w:lang w:val="vi-VN"/>
              </w:rPr>
            </w:pPr>
            <w:r w:rsidRPr="007959DE">
              <w:rPr>
                <w:rFonts w:eastAsia="Calibri" w:cs="Times New Roman"/>
                <w:b/>
                <w:color w:val="000000"/>
                <w:sz w:val="26"/>
                <w:szCs w:val="26"/>
              </w:rPr>
              <w:t>Địa điểm tiếp</w:t>
            </w:r>
            <w:r w:rsidRPr="007959DE">
              <w:rPr>
                <w:rFonts w:eastAsia="Calibri" w:cs="Times New Roman"/>
                <w:b/>
                <w:color w:val="000000"/>
                <w:sz w:val="26"/>
                <w:szCs w:val="26"/>
                <w:lang w:val="vi-VN"/>
              </w:rPr>
              <w:t xml:space="preserve"> nhận</w:t>
            </w:r>
          </w:p>
        </w:tc>
        <w:tc>
          <w:tcPr>
            <w:tcW w:w="1767" w:type="dxa"/>
            <w:gridSpan w:val="2"/>
            <w:vAlign w:val="center"/>
          </w:tcPr>
          <w:p w:rsidR="006A5232" w:rsidRPr="007959DE" w:rsidRDefault="006A5232" w:rsidP="0025774A">
            <w:pPr>
              <w:spacing w:afterLines="60" w:after="144"/>
              <w:jc w:val="center"/>
              <w:rPr>
                <w:rFonts w:eastAsia="Calibri" w:cs="Times New Roman"/>
                <w:b/>
                <w:color w:val="000000"/>
                <w:sz w:val="26"/>
                <w:szCs w:val="26"/>
              </w:rPr>
            </w:pPr>
            <w:r w:rsidRPr="007959DE">
              <w:rPr>
                <w:rFonts w:eastAsia="Calibri" w:cs="Times New Roman"/>
                <w:b/>
                <w:color w:val="000000"/>
                <w:sz w:val="26"/>
                <w:szCs w:val="26"/>
              </w:rPr>
              <w:t>Dịch vụ công trực tuyến</w:t>
            </w:r>
          </w:p>
        </w:tc>
        <w:tc>
          <w:tcPr>
            <w:tcW w:w="5462" w:type="dxa"/>
            <w:vMerge w:val="restart"/>
            <w:vAlign w:val="center"/>
          </w:tcPr>
          <w:p w:rsidR="006A5232" w:rsidRPr="007959DE" w:rsidRDefault="006A5232" w:rsidP="0025774A">
            <w:pPr>
              <w:spacing w:afterLines="60" w:after="144"/>
              <w:jc w:val="center"/>
              <w:rPr>
                <w:rFonts w:eastAsia="Calibri" w:cs="Times New Roman"/>
                <w:b/>
                <w:color w:val="000000"/>
                <w:sz w:val="26"/>
                <w:szCs w:val="26"/>
              </w:rPr>
            </w:pPr>
          </w:p>
          <w:p w:rsidR="006A5232" w:rsidRPr="007959DE" w:rsidRDefault="006A5232" w:rsidP="0025774A">
            <w:pPr>
              <w:spacing w:afterLines="60" w:after="144"/>
              <w:jc w:val="center"/>
              <w:rPr>
                <w:rFonts w:eastAsia="Calibri" w:cs="Times New Roman"/>
                <w:b/>
                <w:color w:val="000000"/>
                <w:sz w:val="26"/>
                <w:szCs w:val="26"/>
              </w:rPr>
            </w:pPr>
            <w:r w:rsidRPr="007959DE">
              <w:rPr>
                <w:rFonts w:eastAsia="Calibri" w:cs="Times New Roman"/>
                <w:b/>
                <w:color w:val="000000"/>
                <w:sz w:val="26"/>
                <w:szCs w:val="26"/>
              </w:rPr>
              <w:t>Tên VBQPPL quy định</w:t>
            </w:r>
          </w:p>
        </w:tc>
      </w:tr>
      <w:tr w:rsidR="006A5232" w:rsidRPr="007959DE" w:rsidTr="00F04BDC">
        <w:trPr>
          <w:trHeight w:val="152"/>
          <w:tblHeader/>
        </w:trPr>
        <w:tc>
          <w:tcPr>
            <w:tcW w:w="566" w:type="dxa"/>
            <w:vMerge/>
            <w:vAlign w:val="center"/>
          </w:tcPr>
          <w:p w:rsidR="006A5232" w:rsidRPr="007959DE" w:rsidRDefault="006A5232" w:rsidP="0025774A">
            <w:pPr>
              <w:spacing w:afterLines="60" w:after="144"/>
              <w:rPr>
                <w:rFonts w:eastAsia="Calibri" w:cs="Times New Roman"/>
                <w:b/>
                <w:color w:val="000000"/>
                <w:sz w:val="26"/>
                <w:szCs w:val="26"/>
              </w:rPr>
            </w:pPr>
          </w:p>
        </w:tc>
        <w:tc>
          <w:tcPr>
            <w:tcW w:w="1191" w:type="dxa"/>
            <w:vMerge/>
          </w:tcPr>
          <w:p w:rsidR="006A5232" w:rsidRPr="007959DE" w:rsidRDefault="006A5232" w:rsidP="0025774A">
            <w:pPr>
              <w:spacing w:afterLines="300" w:after="720"/>
              <w:rPr>
                <w:rFonts w:eastAsia="Calibri" w:cs="Times New Roman"/>
                <w:b/>
                <w:color w:val="000000"/>
                <w:sz w:val="26"/>
                <w:szCs w:val="26"/>
              </w:rPr>
            </w:pPr>
          </w:p>
        </w:tc>
        <w:tc>
          <w:tcPr>
            <w:tcW w:w="2096" w:type="dxa"/>
            <w:vMerge/>
            <w:vAlign w:val="center"/>
          </w:tcPr>
          <w:p w:rsidR="006A5232" w:rsidRPr="007959DE" w:rsidRDefault="006A5232" w:rsidP="0025774A">
            <w:pPr>
              <w:spacing w:afterLines="60" w:after="144"/>
              <w:rPr>
                <w:rFonts w:eastAsia="Calibri" w:cs="Times New Roman"/>
                <w:b/>
                <w:color w:val="000000"/>
                <w:sz w:val="26"/>
                <w:szCs w:val="26"/>
              </w:rPr>
            </w:pPr>
          </w:p>
        </w:tc>
        <w:tc>
          <w:tcPr>
            <w:tcW w:w="3660" w:type="dxa"/>
            <w:vMerge/>
            <w:vAlign w:val="center"/>
          </w:tcPr>
          <w:p w:rsidR="006A5232" w:rsidRPr="007959DE" w:rsidRDefault="006A5232" w:rsidP="0025774A">
            <w:pPr>
              <w:spacing w:after="120"/>
              <w:rPr>
                <w:rFonts w:eastAsia="Calibri" w:cs="Times New Roman"/>
                <w:b/>
                <w:color w:val="000000"/>
                <w:sz w:val="26"/>
                <w:szCs w:val="26"/>
              </w:rPr>
            </w:pPr>
          </w:p>
        </w:tc>
        <w:tc>
          <w:tcPr>
            <w:tcW w:w="849" w:type="dxa"/>
            <w:vAlign w:val="center"/>
          </w:tcPr>
          <w:p w:rsidR="006A5232" w:rsidRPr="007959DE" w:rsidRDefault="006A5232" w:rsidP="0025774A">
            <w:pPr>
              <w:spacing w:after="120"/>
              <w:jc w:val="center"/>
              <w:rPr>
                <w:rFonts w:eastAsia="Calibri" w:cs="Times New Roman"/>
                <w:b/>
                <w:color w:val="000000"/>
                <w:sz w:val="26"/>
                <w:szCs w:val="26"/>
              </w:rPr>
            </w:pPr>
            <w:r w:rsidRPr="007959DE">
              <w:rPr>
                <w:rFonts w:eastAsia="Calibri" w:cs="Times New Roman"/>
                <w:b/>
                <w:color w:val="000000"/>
                <w:sz w:val="26"/>
                <w:szCs w:val="26"/>
              </w:rPr>
              <w:t>Một phần</w:t>
            </w:r>
          </w:p>
        </w:tc>
        <w:tc>
          <w:tcPr>
            <w:tcW w:w="918" w:type="dxa"/>
            <w:vAlign w:val="center"/>
          </w:tcPr>
          <w:p w:rsidR="006A5232" w:rsidRPr="007959DE" w:rsidRDefault="006A5232" w:rsidP="0025774A">
            <w:pPr>
              <w:spacing w:afterLines="60" w:after="144"/>
              <w:rPr>
                <w:rFonts w:eastAsia="Calibri" w:cs="Times New Roman"/>
                <w:b/>
                <w:color w:val="000000"/>
                <w:sz w:val="26"/>
                <w:szCs w:val="26"/>
              </w:rPr>
            </w:pPr>
            <w:r w:rsidRPr="007959DE">
              <w:rPr>
                <w:rFonts w:eastAsia="Calibri" w:cs="Times New Roman"/>
                <w:b/>
                <w:color w:val="000000"/>
                <w:sz w:val="26"/>
                <w:szCs w:val="26"/>
              </w:rPr>
              <w:t>Toàn trình</w:t>
            </w:r>
          </w:p>
        </w:tc>
        <w:tc>
          <w:tcPr>
            <w:tcW w:w="5462" w:type="dxa"/>
            <w:vMerge/>
            <w:vAlign w:val="center"/>
          </w:tcPr>
          <w:p w:rsidR="006A5232" w:rsidRPr="007959DE" w:rsidRDefault="006A5232" w:rsidP="0025774A">
            <w:pPr>
              <w:spacing w:afterLines="60" w:after="144"/>
              <w:rPr>
                <w:rFonts w:eastAsia="Calibri" w:cs="Times New Roman"/>
                <w:b/>
                <w:color w:val="000000"/>
                <w:sz w:val="26"/>
                <w:szCs w:val="26"/>
              </w:rPr>
            </w:pPr>
          </w:p>
        </w:tc>
      </w:tr>
      <w:tr w:rsidR="006A5232" w:rsidRPr="007959DE" w:rsidTr="00F04BDC">
        <w:trPr>
          <w:trHeight w:val="152"/>
        </w:trPr>
        <w:tc>
          <w:tcPr>
            <w:tcW w:w="566" w:type="dxa"/>
          </w:tcPr>
          <w:p w:rsidR="006A5232" w:rsidRPr="007959DE" w:rsidRDefault="006A5232" w:rsidP="0025774A">
            <w:pPr>
              <w:spacing w:afterLines="60" w:after="144"/>
              <w:rPr>
                <w:rFonts w:eastAsia="Calibri" w:cs="Times New Roman"/>
                <w:color w:val="000000"/>
                <w:sz w:val="26"/>
                <w:szCs w:val="26"/>
              </w:rPr>
            </w:pPr>
            <w:r w:rsidRPr="007959DE">
              <w:rPr>
                <w:rFonts w:eastAsia="Calibri" w:cs="Times New Roman"/>
                <w:color w:val="000000"/>
                <w:sz w:val="26"/>
                <w:szCs w:val="26"/>
              </w:rPr>
              <w:t>1</w:t>
            </w:r>
          </w:p>
        </w:tc>
        <w:tc>
          <w:tcPr>
            <w:tcW w:w="1191" w:type="dxa"/>
          </w:tcPr>
          <w:p w:rsidR="006A5232" w:rsidRPr="007959DE" w:rsidRDefault="00F04BDC" w:rsidP="0025774A">
            <w:pPr>
              <w:spacing w:afterLines="300" w:after="720"/>
              <w:rPr>
                <w:rFonts w:eastAsia="Times New Roman" w:cs="Times New Roman"/>
                <w:sz w:val="26"/>
                <w:szCs w:val="26"/>
              </w:rPr>
            </w:pPr>
            <w:r w:rsidRPr="00F04BDC">
              <w:rPr>
                <w:bCs/>
                <w:sz w:val="26"/>
                <w:szCs w:val="26"/>
                <w:shd w:val="clear" w:color="auto" w:fill="FFFFFF"/>
              </w:rPr>
              <w:t>1.014565</w:t>
            </w:r>
          </w:p>
        </w:tc>
        <w:tc>
          <w:tcPr>
            <w:tcW w:w="2096" w:type="dxa"/>
          </w:tcPr>
          <w:p w:rsidR="006A5232" w:rsidRPr="007959DE" w:rsidRDefault="00F04BDC" w:rsidP="0025774A">
            <w:pPr>
              <w:spacing w:after="60"/>
              <w:rPr>
                <w:rFonts w:eastAsia="Calibri" w:cs="Times New Roman"/>
                <w:sz w:val="26"/>
                <w:szCs w:val="26"/>
              </w:rPr>
            </w:pPr>
            <w:r w:rsidRPr="00F04BDC">
              <w:rPr>
                <w:rFonts w:eastAsia="Times New Roman" w:cs="Times New Roman"/>
                <w:sz w:val="26"/>
                <w:szCs w:val="26"/>
              </w:rPr>
              <w:t>Đăng ký kinh doanh lần đầu, đăng ký thay đổi nội dung đăng ký kinh doanh, đăng ký cấp lại, hiệu đính thông tin đăng ký kinh doanh của tổ chức khoa học công nghệ, chi nhánh của tổ chức khoa học công nghệ</w:t>
            </w:r>
          </w:p>
        </w:tc>
        <w:tc>
          <w:tcPr>
            <w:tcW w:w="3660" w:type="dxa"/>
          </w:tcPr>
          <w:p w:rsidR="00F04BDC" w:rsidRPr="00F04BDC" w:rsidRDefault="00F04BDC" w:rsidP="00F04BDC">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tỉnh Hưng Yên</w:t>
            </w:r>
          </w:p>
          <w:p w:rsidR="00F04BDC" w:rsidRPr="00F04BDC" w:rsidRDefault="00F04BDC" w:rsidP="00F04BDC">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Trụ sở chính: Số 2, đường Chùa Chuông, phường Phố Hiến, tỉnh Hưng Yên</w:t>
            </w:r>
          </w:p>
          <w:p w:rsidR="00F04BDC" w:rsidRPr="00F04BDC" w:rsidRDefault="00F04BDC" w:rsidP="00F04BDC">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Cơ sở 2: Nhà triển lãm thông tin, phường Thái Bình, tỉnh Hưng Yên</w:t>
            </w:r>
          </w:p>
          <w:p w:rsidR="006A5232" w:rsidRPr="007959DE" w:rsidRDefault="00F04BDC" w:rsidP="00F04BDC">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9" w:type="dxa"/>
          </w:tcPr>
          <w:p w:rsidR="006A5232" w:rsidRPr="007959DE" w:rsidRDefault="006A5232" w:rsidP="0025774A">
            <w:pPr>
              <w:spacing w:after="60"/>
              <w:rPr>
                <w:rFonts w:eastAsia="Calibri" w:cs="Times New Roman"/>
                <w:color w:val="000000"/>
                <w:sz w:val="26"/>
                <w:szCs w:val="26"/>
              </w:rPr>
            </w:pPr>
          </w:p>
        </w:tc>
        <w:tc>
          <w:tcPr>
            <w:tcW w:w="918" w:type="dxa"/>
          </w:tcPr>
          <w:p w:rsidR="006A5232" w:rsidRPr="007959DE" w:rsidRDefault="006A5232" w:rsidP="0025774A">
            <w:pPr>
              <w:spacing w:afterLines="60" w:after="144"/>
              <w:rPr>
                <w:rFonts w:eastAsia="Calibri" w:cs="Times New Roman"/>
                <w:color w:val="000000"/>
                <w:sz w:val="26"/>
                <w:szCs w:val="26"/>
              </w:rPr>
            </w:pPr>
            <w:r w:rsidRPr="007959DE">
              <w:rPr>
                <w:rFonts w:eastAsia="Calibri" w:cs="Times New Roman"/>
                <w:color w:val="000000"/>
                <w:sz w:val="26"/>
                <w:szCs w:val="26"/>
              </w:rPr>
              <w:t>x</w:t>
            </w:r>
          </w:p>
        </w:tc>
        <w:tc>
          <w:tcPr>
            <w:tcW w:w="5462" w:type="dxa"/>
          </w:tcPr>
          <w:p w:rsidR="00F04BDC" w:rsidRPr="00F04BDC" w:rsidRDefault="00F04BDC" w:rsidP="00F04BDC">
            <w:pPr>
              <w:shd w:val="clear" w:color="auto" w:fill="FFFFFF"/>
              <w:spacing w:after="60"/>
              <w:rPr>
                <w:sz w:val="26"/>
                <w:szCs w:val="26"/>
              </w:rPr>
            </w:pPr>
            <w:r w:rsidRPr="00F04BDC">
              <w:rPr>
                <w:sz w:val="26"/>
                <w:szCs w:val="26"/>
              </w:rPr>
              <w:t>- Nghị định số 262/2025/NĐ-CP ngày 14/10/2025 của Chính phủ quy định chi tiết và hướng dẫn thi hành một số điều của Luật Khoa học, công nghệ và đổi mới sáng tạo về thông tin, thống kê, đánh giá, chuyển đổi số và các vấn đề chung;</w:t>
            </w:r>
          </w:p>
          <w:p w:rsidR="00F04BDC" w:rsidRPr="00F04BDC" w:rsidRDefault="00F04BDC" w:rsidP="00F04BDC">
            <w:pPr>
              <w:shd w:val="clear" w:color="auto" w:fill="FFFFFF"/>
              <w:spacing w:after="60"/>
              <w:rPr>
                <w:sz w:val="26"/>
                <w:szCs w:val="26"/>
              </w:rPr>
            </w:pPr>
            <w:r w:rsidRPr="00F04BDC">
              <w:rPr>
                <w:sz w:val="26"/>
                <w:szCs w:val="26"/>
              </w:rPr>
              <w:t>- Nghị định số 263/2025/NĐ-CP ngày 14/10/2025 của Chính phủ quy định chi tiết và hướng dẫn thi hành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p>
          <w:p w:rsidR="006A5232" w:rsidRPr="007959DE" w:rsidRDefault="00F04BDC" w:rsidP="00F04BDC">
            <w:pPr>
              <w:shd w:val="clear" w:color="auto" w:fill="FFFFFF"/>
              <w:spacing w:after="60"/>
              <w:rPr>
                <w:rFonts w:ascii="Arial" w:eastAsia="Times New Roman" w:hAnsi="Arial" w:cs="Arial"/>
                <w:color w:val="333333"/>
                <w:sz w:val="21"/>
                <w:szCs w:val="21"/>
              </w:rPr>
            </w:pPr>
            <w:r w:rsidRPr="00F04BDC">
              <w:rPr>
                <w:sz w:val="26"/>
                <w:szCs w:val="26"/>
              </w:rPr>
              <w:t>- Thông tư số 119/2025/TT-BTC ngày 15 tháng 12 năm 2025 của Bộ trưởng Bộ Tài chính hướng dẫn đăng ký kinh doanh tổ chức khoa học và công nghệ.</w:t>
            </w:r>
          </w:p>
        </w:tc>
      </w:tr>
      <w:tr w:rsidR="00F04BDC" w:rsidRPr="007959DE" w:rsidTr="00F04BDC">
        <w:trPr>
          <w:trHeight w:val="152"/>
        </w:trPr>
        <w:tc>
          <w:tcPr>
            <w:tcW w:w="566" w:type="dxa"/>
          </w:tcPr>
          <w:p w:rsidR="00F04BDC" w:rsidRPr="007959DE" w:rsidRDefault="00F04BDC" w:rsidP="0025774A">
            <w:pPr>
              <w:spacing w:afterLines="60" w:after="144"/>
              <w:rPr>
                <w:rFonts w:eastAsia="Calibri" w:cs="Times New Roman"/>
                <w:color w:val="000000"/>
                <w:sz w:val="26"/>
                <w:szCs w:val="26"/>
              </w:rPr>
            </w:pPr>
            <w:r w:rsidRPr="007959DE">
              <w:rPr>
                <w:rFonts w:eastAsia="Calibri" w:cs="Times New Roman"/>
                <w:color w:val="000000"/>
                <w:sz w:val="26"/>
                <w:szCs w:val="26"/>
              </w:rPr>
              <w:t>2</w:t>
            </w:r>
          </w:p>
        </w:tc>
        <w:tc>
          <w:tcPr>
            <w:tcW w:w="1191" w:type="dxa"/>
          </w:tcPr>
          <w:p w:rsidR="00F04BDC" w:rsidRPr="007959DE" w:rsidRDefault="00F04BDC" w:rsidP="0025774A">
            <w:pPr>
              <w:spacing w:afterLines="300" w:after="720"/>
              <w:rPr>
                <w:rFonts w:eastAsia="Times New Roman" w:cs="Times New Roman"/>
                <w:sz w:val="26"/>
                <w:szCs w:val="26"/>
              </w:rPr>
            </w:pPr>
            <w:r w:rsidRPr="00F04BDC">
              <w:rPr>
                <w:sz w:val="26"/>
                <w:szCs w:val="26"/>
              </w:rPr>
              <w:t>1.014566</w:t>
            </w:r>
          </w:p>
        </w:tc>
        <w:tc>
          <w:tcPr>
            <w:tcW w:w="2096" w:type="dxa"/>
          </w:tcPr>
          <w:p w:rsidR="00F04BDC" w:rsidRPr="007959DE" w:rsidRDefault="00F04BDC" w:rsidP="0025774A">
            <w:pPr>
              <w:spacing w:after="60"/>
              <w:rPr>
                <w:rFonts w:eastAsia="Calibri" w:cs="Times New Roman"/>
                <w:sz w:val="26"/>
                <w:szCs w:val="26"/>
              </w:rPr>
            </w:pPr>
            <w:r w:rsidRPr="00F04BDC">
              <w:rPr>
                <w:rFonts w:eastAsia="Times New Roman" w:cs="Times New Roman"/>
                <w:sz w:val="26"/>
                <w:szCs w:val="26"/>
              </w:rPr>
              <w:t xml:space="preserve">Đăng ký tạm ngừng kinh doanh, tiếp tục kinh doanh trước thời hạn đã đăng </w:t>
            </w:r>
            <w:r w:rsidRPr="00F04BDC">
              <w:rPr>
                <w:rFonts w:eastAsia="Times New Roman" w:cs="Times New Roman"/>
                <w:sz w:val="26"/>
                <w:szCs w:val="26"/>
              </w:rPr>
              <w:lastRenderedPageBreak/>
              <w:t>ký, chấm dứt kinh doanh của tổ chức khoa học và công nghệ, chi nhánh của tổ chức khoa học và công nghệ</w:t>
            </w:r>
          </w:p>
        </w:tc>
        <w:tc>
          <w:tcPr>
            <w:tcW w:w="3660" w:type="dxa"/>
          </w:tcPr>
          <w:p w:rsidR="00F04BDC" w:rsidRPr="00F04BDC" w:rsidRDefault="00F04BDC" w:rsidP="0025774A">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lastRenderedPageBreak/>
              <w:t>- Trung tâm Phục vụ hành chính công tỉnh Hưng Yên</w:t>
            </w:r>
          </w:p>
          <w:p w:rsidR="00F04BDC" w:rsidRPr="00F04BDC" w:rsidRDefault="00F04BDC" w:rsidP="0025774A">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xml:space="preserve">+ Trụ sở chính: Số 2, đường Chùa Chuông, phường Phố </w:t>
            </w:r>
            <w:r w:rsidRPr="00F04BDC">
              <w:rPr>
                <w:rFonts w:eastAsia="Calibri" w:cs="Times New Roman"/>
                <w:color w:val="000000"/>
                <w:sz w:val="26"/>
                <w:szCs w:val="26"/>
                <w:lang w:val="vi-VN"/>
              </w:rPr>
              <w:lastRenderedPageBreak/>
              <w:t>Hiến, tỉnh Hưng Yên</w:t>
            </w:r>
          </w:p>
          <w:p w:rsidR="00F04BDC" w:rsidRPr="00F04BDC" w:rsidRDefault="00F04BDC" w:rsidP="0025774A">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Cơ sở 2: Nhà triển lãm thông tin, phường Thái Bình, tỉnh Hưng Yên</w:t>
            </w:r>
          </w:p>
          <w:p w:rsidR="00F04BDC" w:rsidRPr="007959DE" w:rsidRDefault="00F04BDC" w:rsidP="0025774A">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9" w:type="dxa"/>
          </w:tcPr>
          <w:p w:rsidR="00F04BDC" w:rsidRPr="007959DE" w:rsidRDefault="00F04BDC" w:rsidP="0025774A">
            <w:pPr>
              <w:spacing w:after="60"/>
              <w:rPr>
                <w:rFonts w:eastAsia="Calibri" w:cs="Times New Roman"/>
                <w:color w:val="000000"/>
                <w:sz w:val="26"/>
                <w:szCs w:val="26"/>
              </w:rPr>
            </w:pPr>
          </w:p>
        </w:tc>
        <w:tc>
          <w:tcPr>
            <w:tcW w:w="918" w:type="dxa"/>
          </w:tcPr>
          <w:p w:rsidR="00F04BDC" w:rsidRPr="007959DE" w:rsidRDefault="00F04BDC" w:rsidP="0025774A">
            <w:pPr>
              <w:spacing w:afterLines="60" w:after="144"/>
              <w:rPr>
                <w:rFonts w:eastAsia="Calibri" w:cs="Times New Roman"/>
                <w:color w:val="000000"/>
                <w:sz w:val="26"/>
                <w:szCs w:val="26"/>
              </w:rPr>
            </w:pPr>
            <w:r w:rsidRPr="007959DE">
              <w:rPr>
                <w:rFonts w:eastAsia="Calibri" w:cs="Times New Roman"/>
                <w:color w:val="000000"/>
                <w:sz w:val="26"/>
                <w:szCs w:val="26"/>
              </w:rPr>
              <w:t>x</w:t>
            </w:r>
          </w:p>
        </w:tc>
        <w:tc>
          <w:tcPr>
            <w:tcW w:w="5462" w:type="dxa"/>
          </w:tcPr>
          <w:p w:rsidR="00F04BDC" w:rsidRPr="00F04BDC" w:rsidRDefault="00F04BDC" w:rsidP="00F04BDC">
            <w:pPr>
              <w:shd w:val="clear" w:color="auto" w:fill="FFFFFF"/>
              <w:spacing w:after="60"/>
              <w:rPr>
                <w:rFonts w:eastAsia="Times New Roman" w:cs="Times New Roman"/>
                <w:sz w:val="26"/>
                <w:szCs w:val="26"/>
                <w:lang w:val="vi-VN"/>
              </w:rPr>
            </w:pPr>
            <w:r w:rsidRPr="00F04BDC">
              <w:rPr>
                <w:rFonts w:eastAsia="Times New Roman" w:cs="Times New Roman"/>
                <w:sz w:val="26"/>
                <w:szCs w:val="26"/>
                <w:lang w:val="vi-VN"/>
              </w:rPr>
              <w:t>- Nghị định số 262/2025/NĐ-CP ngày 14/10/2025 của Chính phủ quy định chi tiết và hướng dẫn thi hành một số điều của Luật Khoa học, công nghệ và đổi mới sáng tạo về thông tin, thống kê, đánh giá, chuyển đổi số và các vấn đề chung;</w:t>
            </w:r>
          </w:p>
          <w:p w:rsidR="00F04BDC" w:rsidRPr="00F04BDC" w:rsidRDefault="00F04BDC" w:rsidP="00F04BDC">
            <w:pPr>
              <w:shd w:val="clear" w:color="auto" w:fill="FFFFFF"/>
              <w:spacing w:after="60"/>
              <w:rPr>
                <w:rFonts w:eastAsia="Times New Roman" w:cs="Times New Roman"/>
                <w:sz w:val="26"/>
                <w:szCs w:val="26"/>
                <w:lang w:val="vi-VN"/>
              </w:rPr>
            </w:pPr>
            <w:r w:rsidRPr="00F04BDC">
              <w:rPr>
                <w:rFonts w:eastAsia="Times New Roman" w:cs="Times New Roman"/>
                <w:sz w:val="26"/>
                <w:szCs w:val="26"/>
                <w:lang w:val="vi-VN"/>
              </w:rPr>
              <w:lastRenderedPageBreak/>
              <w:t>- Nghị định số 263/2025/NĐ-CP ngày 14/10/2025 của Chính phủ quy định chi tiết và hướng dẫn thi hành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p>
          <w:p w:rsidR="00F04BDC" w:rsidRPr="007959DE" w:rsidRDefault="00F04BDC" w:rsidP="00F04BDC">
            <w:pPr>
              <w:shd w:val="clear" w:color="auto" w:fill="FFFFFF"/>
              <w:spacing w:after="60"/>
              <w:rPr>
                <w:rFonts w:ascii="Arial" w:eastAsia="Times New Roman" w:hAnsi="Arial" w:cs="Arial"/>
                <w:color w:val="333333"/>
                <w:sz w:val="26"/>
                <w:szCs w:val="26"/>
              </w:rPr>
            </w:pPr>
            <w:r w:rsidRPr="00F04BDC">
              <w:rPr>
                <w:rFonts w:eastAsia="Times New Roman" w:cs="Times New Roman"/>
                <w:sz w:val="26"/>
                <w:szCs w:val="26"/>
                <w:lang w:val="vi-VN"/>
              </w:rPr>
              <w:t>- Thông tư số 119/2025/TT-BTC ngày 15 tháng 12 năm 2025 của Bộ trưởng Bộ Tài chính hướng dẫn đăng ký kinh doanh tổ chức khoa học và công nghệ.</w:t>
            </w:r>
          </w:p>
        </w:tc>
      </w:tr>
      <w:tr w:rsidR="00F04BDC" w:rsidRPr="007959DE" w:rsidTr="00F04BDC">
        <w:trPr>
          <w:trHeight w:val="152"/>
        </w:trPr>
        <w:tc>
          <w:tcPr>
            <w:tcW w:w="566" w:type="dxa"/>
          </w:tcPr>
          <w:p w:rsidR="00F04BDC" w:rsidRPr="007959DE" w:rsidRDefault="00F04BDC" w:rsidP="0025774A">
            <w:pPr>
              <w:spacing w:afterLines="60" w:after="144"/>
              <w:rPr>
                <w:rFonts w:eastAsia="Calibri" w:cs="Times New Roman"/>
                <w:color w:val="000000"/>
                <w:sz w:val="26"/>
                <w:szCs w:val="26"/>
              </w:rPr>
            </w:pPr>
            <w:r w:rsidRPr="007959DE">
              <w:rPr>
                <w:rFonts w:eastAsia="Calibri" w:cs="Times New Roman"/>
                <w:color w:val="000000"/>
                <w:sz w:val="26"/>
                <w:szCs w:val="26"/>
              </w:rPr>
              <w:lastRenderedPageBreak/>
              <w:t>3</w:t>
            </w:r>
          </w:p>
        </w:tc>
        <w:tc>
          <w:tcPr>
            <w:tcW w:w="1191" w:type="dxa"/>
          </w:tcPr>
          <w:p w:rsidR="00F04BDC" w:rsidRPr="007959DE" w:rsidRDefault="00F04BDC" w:rsidP="0025774A">
            <w:pPr>
              <w:spacing w:afterLines="300" w:after="720"/>
              <w:rPr>
                <w:rFonts w:eastAsia="Times New Roman" w:cs="Times New Roman"/>
                <w:sz w:val="26"/>
                <w:szCs w:val="26"/>
              </w:rPr>
            </w:pPr>
            <w:r w:rsidRPr="00F04BDC">
              <w:rPr>
                <w:sz w:val="26"/>
                <w:szCs w:val="26"/>
              </w:rPr>
              <w:t>1.014567</w:t>
            </w:r>
          </w:p>
        </w:tc>
        <w:tc>
          <w:tcPr>
            <w:tcW w:w="2096" w:type="dxa"/>
          </w:tcPr>
          <w:p w:rsidR="00F04BDC" w:rsidRPr="007959DE" w:rsidRDefault="00F04BDC" w:rsidP="0025774A">
            <w:pPr>
              <w:spacing w:after="60"/>
              <w:rPr>
                <w:rFonts w:eastAsia="Times New Roman" w:cs="Times New Roman"/>
                <w:sz w:val="26"/>
                <w:szCs w:val="26"/>
              </w:rPr>
            </w:pPr>
            <w:r w:rsidRPr="00F04BDC">
              <w:rPr>
                <w:sz w:val="26"/>
                <w:szCs w:val="26"/>
              </w:rPr>
              <w:t>Đề nghị thu hồi giấy tờ trong trường hợp có căn cứ xác định nội dung kê khai trong hồ sơ đăng ký kinh doanh của tổ chức khoa học và công nghệ là giả mạo</w:t>
            </w:r>
          </w:p>
        </w:tc>
        <w:tc>
          <w:tcPr>
            <w:tcW w:w="3660" w:type="dxa"/>
          </w:tcPr>
          <w:p w:rsidR="00F04BDC" w:rsidRPr="00F04BDC" w:rsidRDefault="00F04BDC" w:rsidP="0025774A">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tỉnh Hưng Yên</w:t>
            </w:r>
          </w:p>
          <w:p w:rsidR="00F04BDC" w:rsidRPr="00F04BDC" w:rsidRDefault="00F04BDC" w:rsidP="0025774A">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Trụ sở chính: Số 2, đường Chùa Chuông, phường Phố Hiến, tỉnh Hưng Yên</w:t>
            </w:r>
          </w:p>
          <w:p w:rsidR="00F04BDC" w:rsidRPr="00F04BDC" w:rsidRDefault="00F04BDC" w:rsidP="0025774A">
            <w:pPr>
              <w:tabs>
                <w:tab w:val="left" w:pos="3090"/>
              </w:tabs>
              <w:spacing w:before="60" w:after="60"/>
              <w:rPr>
                <w:rFonts w:eastAsia="Calibri" w:cs="Times New Roman"/>
                <w:color w:val="000000"/>
                <w:sz w:val="26"/>
                <w:szCs w:val="26"/>
                <w:lang w:val="vi-VN"/>
              </w:rPr>
            </w:pPr>
            <w:r w:rsidRPr="00F04BDC">
              <w:rPr>
                <w:rFonts w:eastAsia="Calibri" w:cs="Times New Roman"/>
                <w:color w:val="000000"/>
                <w:sz w:val="26"/>
                <w:szCs w:val="26"/>
                <w:lang w:val="vi-VN"/>
              </w:rPr>
              <w:t>+ Cơ sở 2: Nhà triển lãm thông tin, phường Thái Bình, tỉnh Hưng Yên</w:t>
            </w:r>
          </w:p>
          <w:p w:rsidR="00F04BDC" w:rsidRPr="007959DE" w:rsidRDefault="00F04BDC" w:rsidP="0025774A">
            <w:pPr>
              <w:tabs>
                <w:tab w:val="left" w:pos="3090"/>
              </w:tabs>
              <w:spacing w:after="60"/>
              <w:rPr>
                <w:rFonts w:eastAsia="Calibri" w:cs="Times New Roman"/>
                <w:color w:val="000000"/>
                <w:sz w:val="26"/>
                <w:szCs w:val="26"/>
                <w:lang w:val="vi-VN"/>
              </w:rPr>
            </w:pPr>
            <w:r w:rsidRPr="00F04BDC">
              <w:rPr>
                <w:rFonts w:eastAsia="Calibri" w:cs="Times New Roman"/>
                <w:color w:val="000000"/>
                <w:sz w:val="26"/>
                <w:szCs w:val="26"/>
                <w:lang w:val="vi-VN"/>
              </w:rPr>
              <w:t>- Trung tâm phục vụ hành chính công cấp xã</w:t>
            </w:r>
          </w:p>
        </w:tc>
        <w:tc>
          <w:tcPr>
            <w:tcW w:w="849" w:type="dxa"/>
          </w:tcPr>
          <w:p w:rsidR="00F04BDC" w:rsidRPr="007959DE" w:rsidRDefault="00F04BDC" w:rsidP="0025774A">
            <w:pPr>
              <w:spacing w:after="60"/>
              <w:rPr>
                <w:rFonts w:eastAsia="Calibri" w:cs="Times New Roman"/>
                <w:color w:val="000000"/>
                <w:sz w:val="26"/>
                <w:szCs w:val="26"/>
              </w:rPr>
            </w:pPr>
          </w:p>
        </w:tc>
        <w:tc>
          <w:tcPr>
            <w:tcW w:w="918" w:type="dxa"/>
          </w:tcPr>
          <w:p w:rsidR="00F04BDC" w:rsidRPr="007959DE" w:rsidRDefault="00F04BDC" w:rsidP="0025774A">
            <w:pPr>
              <w:spacing w:afterLines="60" w:after="144"/>
              <w:rPr>
                <w:rFonts w:eastAsia="Calibri" w:cs="Times New Roman"/>
                <w:color w:val="000000"/>
                <w:sz w:val="26"/>
                <w:szCs w:val="26"/>
              </w:rPr>
            </w:pPr>
            <w:r w:rsidRPr="007959DE">
              <w:rPr>
                <w:rFonts w:eastAsia="Calibri" w:cs="Times New Roman"/>
                <w:color w:val="000000"/>
                <w:sz w:val="26"/>
                <w:szCs w:val="26"/>
              </w:rPr>
              <w:t>x</w:t>
            </w:r>
          </w:p>
        </w:tc>
        <w:tc>
          <w:tcPr>
            <w:tcW w:w="5462" w:type="dxa"/>
          </w:tcPr>
          <w:p w:rsidR="00F04BDC" w:rsidRPr="00F04BDC" w:rsidRDefault="00F04BDC" w:rsidP="00F04BDC">
            <w:pPr>
              <w:shd w:val="clear" w:color="auto" w:fill="FFFFFF"/>
              <w:spacing w:after="60"/>
              <w:rPr>
                <w:rFonts w:eastAsia="Times New Roman" w:cs="Times New Roman"/>
                <w:sz w:val="26"/>
                <w:szCs w:val="26"/>
                <w:lang w:val="vi-VN"/>
              </w:rPr>
            </w:pPr>
            <w:r w:rsidRPr="00F04BDC">
              <w:rPr>
                <w:rFonts w:eastAsia="Times New Roman" w:cs="Times New Roman"/>
                <w:sz w:val="26"/>
                <w:szCs w:val="26"/>
                <w:lang w:val="vi-VN"/>
              </w:rPr>
              <w:t>- Nghị định số 262/2025/NĐ-CP ngày 14/10/2025 của Chính phủ quy định chi tiết và hướng dẫn thi hành một số điều của Luật Khoa học, công nghệ và đổi mới sáng tạo về thông tin, thống kê, đánh giá, chuyển đổi số và các vấn đề chung;</w:t>
            </w:r>
          </w:p>
          <w:p w:rsidR="00F04BDC" w:rsidRPr="00F04BDC" w:rsidRDefault="00F04BDC" w:rsidP="00F04BDC">
            <w:pPr>
              <w:shd w:val="clear" w:color="auto" w:fill="FFFFFF"/>
              <w:spacing w:after="60"/>
              <w:rPr>
                <w:rFonts w:eastAsia="Times New Roman" w:cs="Times New Roman"/>
                <w:sz w:val="26"/>
                <w:szCs w:val="26"/>
                <w:lang w:val="vi-VN"/>
              </w:rPr>
            </w:pPr>
            <w:r w:rsidRPr="00F04BDC">
              <w:rPr>
                <w:rFonts w:eastAsia="Times New Roman" w:cs="Times New Roman"/>
                <w:sz w:val="26"/>
                <w:szCs w:val="26"/>
                <w:lang w:val="vi-VN"/>
              </w:rPr>
              <w:t>- Nghị định số 263/2025/NĐ-CP ngày 14/10/2025 của Chính phủ quy định chi tiết và hướng dẫn thi hành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p>
          <w:p w:rsidR="00F04BDC" w:rsidRPr="007959DE" w:rsidRDefault="00F04BDC" w:rsidP="00F04BDC">
            <w:pPr>
              <w:shd w:val="clear" w:color="auto" w:fill="FFFFFF"/>
              <w:spacing w:after="60"/>
              <w:rPr>
                <w:rFonts w:ascii="Arial" w:eastAsia="Times New Roman" w:hAnsi="Arial" w:cs="Arial"/>
                <w:color w:val="333333"/>
                <w:sz w:val="26"/>
                <w:szCs w:val="26"/>
              </w:rPr>
            </w:pPr>
            <w:r w:rsidRPr="00F04BDC">
              <w:rPr>
                <w:rFonts w:eastAsia="Times New Roman" w:cs="Times New Roman"/>
                <w:sz w:val="26"/>
                <w:szCs w:val="26"/>
                <w:lang w:val="vi-VN"/>
              </w:rPr>
              <w:t>- Thông tư số 119/2025/TT-BTC ngày 15 tháng 12 năm 2025 của Bộ trưởng Bộ Tài chính hướng dẫn đăng ký kinh doanh tổ chức khoa học và công nghệ.</w:t>
            </w:r>
          </w:p>
        </w:tc>
      </w:tr>
    </w:tbl>
    <w:p w:rsidR="00582F1F" w:rsidRDefault="00582F1F" w:rsidP="00F04BDC">
      <w:pPr>
        <w:spacing w:before="120" w:after="120" w:line="240" w:lineRule="auto"/>
        <w:ind w:firstLine="567"/>
      </w:pPr>
    </w:p>
    <w:sectPr w:rsidR="00582F1F" w:rsidSect="003778F6">
      <w:headerReference w:type="default" r:id="rId7"/>
      <w:pgSz w:w="16840" w:h="11907" w:orient="landscape" w:code="9"/>
      <w:pgMar w:top="1134" w:right="1134" w:bottom="1134" w:left="1134" w:header="454"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EEB" w:rsidRDefault="00C30EEB">
      <w:pPr>
        <w:spacing w:after="0" w:line="240" w:lineRule="auto"/>
      </w:pPr>
      <w:r>
        <w:separator/>
      </w:r>
    </w:p>
  </w:endnote>
  <w:endnote w:type="continuationSeparator" w:id="0">
    <w:p w:rsidR="00C30EEB" w:rsidRDefault="00C30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EEB" w:rsidRDefault="00C30EEB">
      <w:pPr>
        <w:spacing w:after="0" w:line="240" w:lineRule="auto"/>
      </w:pPr>
      <w:r>
        <w:separator/>
      </w:r>
    </w:p>
  </w:footnote>
  <w:footnote w:type="continuationSeparator" w:id="0">
    <w:p w:rsidR="00C30EEB" w:rsidRDefault="00C30E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8745507"/>
      <w:docPartObj>
        <w:docPartGallery w:val="Page Numbers (Top of Page)"/>
        <w:docPartUnique/>
      </w:docPartObj>
    </w:sdtPr>
    <w:sdtEndPr>
      <w:rPr>
        <w:noProof/>
      </w:rPr>
    </w:sdtEndPr>
    <w:sdtContent>
      <w:p w:rsidR="00121349" w:rsidRDefault="002C2CC3">
        <w:pPr>
          <w:pStyle w:val="Header"/>
          <w:jc w:val="center"/>
        </w:pPr>
        <w:r>
          <w:fldChar w:fldCharType="begin"/>
        </w:r>
        <w:r>
          <w:instrText xml:space="preserve"> PAGE   \* MERGEFORMAT </w:instrText>
        </w:r>
        <w:r>
          <w:fldChar w:fldCharType="separate"/>
        </w:r>
        <w:r w:rsidR="00D57A5C">
          <w:rPr>
            <w:noProof/>
          </w:rPr>
          <w:t>2</w:t>
        </w:r>
        <w:r>
          <w:rPr>
            <w:noProof/>
          </w:rPr>
          <w:fldChar w:fldCharType="end"/>
        </w:r>
      </w:p>
    </w:sdtContent>
  </w:sdt>
  <w:p w:rsidR="00121349" w:rsidRDefault="00C30E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232"/>
    <w:rsid w:val="00025254"/>
    <w:rsid w:val="002C2CC3"/>
    <w:rsid w:val="00582F1F"/>
    <w:rsid w:val="006A5232"/>
    <w:rsid w:val="00B66644"/>
    <w:rsid w:val="00C30EEB"/>
    <w:rsid w:val="00D57A5C"/>
    <w:rsid w:val="00F04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2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A52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5232"/>
  </w:style>
  <w:style w:type="table" w:styleId="TableGrid">
    <w:name w:val="Table Grid"/>
    <w:basedOn w:val="TableNormal"/>
    <w:uiPriority w:val="59"/>
    <w:rsid w:val="006A5232"/>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2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A52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5232"/>
  </w:style>
  <w:style w:type="table" w:styleId="TableGrid">
    <w:name w:val="Table Grid"/>
    <w:basedOn w:val="TableNormal"/>
    <w:uiPriority w:val="59"/>
    <w:rsid w:val="006A5232"/>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2025-12-31T01:21:00Z</dcterms:created>
  <dcterms:modified xsi:type="dcterms:W3CDTF">2025-12-31T01:21:00Z</dcterms:modified>
</cp:coreProperties>
</file>