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317" w:rsidRDefault="00DE1317" w:rsidP="00DE1317">
      <w:pPr>
        <w:spacing w:after="0" w:line="240" w:lineRule="auto"/>
        <w:jc w:val="center"/>
        <w:rPr>
          <w:rFonts w:eastAsia="Calibri" w:cs="Times New Roman"/>
          <w:b/>
          <w:color w:val="000000"/>
          <w:sz w:val="26"/>
          <w:szCs w:val="26"/>
        </w:rPr>
      </w:pPr>
      <w:r w:rsidRPr="007959DE">
        <w:rPr>
          <w:rFonts w:eastAsia="Calibri" w:cs="Times New Roman"/>
          <w:b/>
          <w:color w:val="000000"/>
          <w:sz w:val="26"/>
          <w:szCs w:val="26"/>
        </w:rPr>
        <w:t xml:space="preserve">DANH MỤC THỦ TỤC HÀNH CHÍNH CẤP TỈNH </w:t>
      </w:r>
      <w:r w:rsidR="000C375C">
        <w:rPr>
          <w:rFonts w:eastAsia="Calibri" w:cs="Times New Roman"/>
          <w:b/>
          <w:color w:val="000000"/>
          <w:sz w:val="26"/>
          <w:szCs w:val="26"/>
        </w:rPr>
        <w:t>ĐƯỢC SỬA ĐỔI, BỔ SUNG</w:t>
      </w:r>
      <w:r w:rsidRPr="007959DE">
        <w:rPr>
          <w:rFonts w:eastAsia="Calibri" w:cs="Times New Roman"/>
          <w:b/>
          <w:color w:val="000000"/>
          <w:sz w:val="26"/>
          <w:szCs w:val="26"/>
          <w:lang w:val="vi-VN"/>
        </w:rPr>
        <w:t xml:space="preserve"> TRONG </w:t>
      </w:r>
      <w:r w:rsidRPr="007959DE">
        <w:rPr>
          <w:rFonts w:eastAsia="Calibri" w:cs="Times New Roman"/>
          <w:b/>
          <w:color w:val="000000"/>
          <w:sz w:val="26"/>
          <w:szCs w:val="26"/>
        </w:rPr>
        <w:t>LĨNH VỰC</w:t>
      </w:r>
      <w:r w:rsidRPr="007959DE">
        <w:rPr>
          <w:rFonts w:eastAsia="Calibri" w:cs="Times New Roman"/>
          <w:b/>
          <w:color w:val="000000"/>
          <w:sz w:val="26"/>
          <w:szCs w:val="26"/>
          <w:lang w:val="vi-VN"/>
        </w:rPr>
        <w:t xml:space="preserve"> </w:t>
      </w:r>
      <w:r w:rsidR="000C375C">
        <w:rPr>
          <w:rFonts w:eastAsia="Calibri" w:cs="Times New Roman"/>
          <w:b/>
          <w:color w:val="000000"/>
          <w:sz w:val="26"/>
          <w:szCs w:val="26"/>
        </w:rPr>
        <w:t>QUỐC TỊCH</w:t>
      </w:r>
      <w:r>
        <w:rPr>
          <w:rFonts w:eastAsia="Calibri" w:cs="Times New Roman"/>
          <w:b/>
          <w:color w:val="000000"/>
          <w:sz w:val="26"/>
          <w:szCs w:val="26"/>
        </w:rPr>
        <w:t xml:space="preserve"> </w:t>
      </w:r>
    </w:p>
    <w:p w:rsidR="00DE1317" w:rsidRPr="007959DE" w:rsidRDefault="00DE1317" w:rsidP="00DE1317">
      <w:pPr>
        <w:spacing w:after="0" w:line="240" w:lineRule="auto"/>
        <w:jc w:val="center"/>
        <w:rPr>
          <w:rFonts w:eastAsia="Calibri" w:cs="Times New Roman"/>
          <w:b/>
          <w:bCs/>
          <w:color w:val="000000"/>
          <w:sz w:val="26"/>
          <w:szCs w:val="26"/>
        </w:rPr>
      </w:pPr>
      <w:r w:rsidRPr="007959DE">
        <w:rPr>
          <w:rFonts w:eastAsia="Calibri" w:cs="Times New Roman"/>
          <w:b/>
          <w:bCs/>
          <w:color w:val="000000"/>
          <w:sz w:val="26"/>
          <w:szCs w:val="26"/>
        </w:rPr>
        <w:t>THUỘC</w:t>
      </w:r>
      <w:r w:rsidRPr="007959DE">
        <w:rPr>
          <w:rFonts w:eastAsia="Calibri" w:cs="Times New Roman"/>
          <w:b/>
          <w:bCs/>
          <w:color w:val="000000"/>
          <w:sz w:val="26"/>
          <w:szCs w:val="26"/>
          <w:lang w:val="vi-VN"/>
        </w:rPr>
        <w:t xml:space="preserve"> </w:t>
      </w:r>
      <w:r w:rsidRPr="007959DE">
        <w:rPr>
          <w:rFonts w:eastAsia="Calibri" w:cs="Times New Roman"/>
          <w:b/>
          <w:bCs/>
          <w:color w:val="000000"/>
          <w:sz w:val="26"/>
          <w:szCs w:val="26"/>
        </w:rPr>
        <w:t xml:space="preserve">PHẠM VI CHỨC NĂNG QUẢN </w:t>
      </w:r>
      <w:r w:rsidRPr="007959DE">
        <w:rPr>
          <w:rFonts w:eastAsia="Calibri" w:cs="Times New Roman"/>
          <w:b/>
          <w:bCs/>
          <w:color w:val="000000"/>
          <w:sz w:val="26"/>
          <w:szCs w:val="26"/>
          <w:lang w:val="vi-VN"/>
        </w:rPr>
        <w:t>LÝ NHÀ NƯỚC</w:t>
      </w:r>
      <w:r w:rsidRPr="007959DE">
        <w:rPr>
          <w:rFonts w:eastAsia="Calibri" w:cs="Times New Roman"/>
          <w:b/>
          <w:bCs/>
          <w:color w:val="000000"/>
          <w:sz w:val="26"/>
          <w:szCs w:val="26"/>
        </w:rPr>
        <w:t xml:space="preserve"> CỦA SỞ </w:t>
      </w:r>
      <w:r>
        <w:rPr>
          <w:rFonts w:eastAsia="Calibri" w:cs="Times New Roman"/>
          <w:b/>
          <w:bCs/>
          <w:color w:val="000000"/>
          <w:sz w:val="26"/>
          <w:szCs w:val="26"/>
        </w:rPr>
        <w:t>TƯ PHÁP</w:t>
      </w:r>
    </w:p>
    <w:p w:rsidR="00DE1317" w:rsidRPr="007959DE" w:rsidRDefault="00DE1317" w:rsidP="00DE1317">
      <w:pPr>
        <w:spacing w:after="0" w:line="240" w:lineRule="auto"/>
        <w:jc w:val="center"/>
        <w:rPr>
          <w:rFonts w:eastAsia="Calibri" w:cs="Times New Roman"/>
          <w:i/>
          <w:color w:val="000000"/>
          <w:sz w:val="26"/>
          <w:szCs w:val="26"/>
        </w:rPr>
      </w:pPr>
      <w:r w:rsidRPr="007959DE">
        <w:rPr>
          <w:rFonts w:eastAsia="Calibri" w:cs="Times New Roman"/>
          <w:i/>
          <w:color w:val="000000"/>
          <w:sz w:val="26"/>
          <w:szCs w:val="26"/>
        </w:rPr>
        <w:t xml:space="preserve"> (Kèm theo Quyết định số          /QĐ-UBND ngày         /12/2025 của Ch</w:t>
      </w:r>
      <w:bookmarkStart w:id="0" w:name="_GoBack"/>
      <w:bookmarkEnd w:id="0"/>
      <w:r w:rsidRPr="007959DE">
        <w:rPr>
          <w:rFonts w:eastAsia="Calibri" w:cs="Times New Roman"/>
          <w:i/>
          <w:color w:val="000000"/>
          <w:sz w:val="26"/>
          <w:szCs w:val="26"/>
        </w:rPr>
        <w:t>ủ tịch Ủy ban nhân dân tỉnh Hưng Yên)</w:t>
      </w:r>
    </w:p>
    <w:p w:rsidR="00DE1317" w:rsidRPr="007959DE" w:rsidRDefault="00DE1317" w:rsidP="00DE1317">
      <w:pPr>
        <w:spacing w:after="0" w:line="240" w:lineRule="auto"/>
        <w:jc w:val="center"/>
        <w:rPr>
          <w:rFonts w:eastAsia="Calibri" w:cs="Times New Roman"/>
          <w:i/>
          <w:color w:val="000000"/>
          <w:sz w:val="26"/>
          <w:szCs w:val="26"/>
        </w:rPr>
      </w:pPr>
      <w:r w:rsidRPr="007959DE">
        <w:rPr>
          <w:rFonts w:eastAsia="Calibri" w:cs="Times New Roman"/>
          <w:i/>
          <w:noProof/>
          <w:color w:val="000000"/>
          <w:sz w:val="26"/>
          <w:szCs w:val="26"/>
        </w:rPr>
        <mc:AlternateContent>
          <mc:Choice Requires="wps">
            <w:drawing>
              <wp:anchor distT="0" distB="0" distL="114300" distR="114300" simplePos="0" relativeHeight="251659264" behindDoc="0" locked="0" layoutInCell="1" allowOverlap="1" wp14:anchorId="787C9926" wp14:editId="5F0C4AFA">
                <wp:simplePos x="0" y="0"/>
                <wp:positionH relativeFrom="column">
                  <wp:posOffset>3347085</wp:posOffset>
                </wp:positionH>
                <wp:positionV relativeFrom="paragraph">
                  <wp:posOffset>20320</wp:posOffset>
                </wp:positionV>
                <wp:extent cx="2644775" cy="0"/>
                <wp:effectExtent l="0" t="0" r="22225" b="19050"/>
                <wp:wrapNone/>
                <wp:docPr id="1" name="Straight Connector 1"/>
                <wp:cNvGraphicFramePr/>
                <a:graphic xmlns:a="http://schemas.openxmlformats.org/drawingml/2006/main">
                  <a:graphicData uri="http://schemas.microsoft.com/office/word/2010/wordprocessingShape">
                    <wps:wsp>
                      <wps:cNvCnPr/>
                      <wps:spPr>
                        <a:xfrm flipV="1">
                          <a:off x="0" y="0"/>
                          <a:ext cx="26447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55pt,1.6pt" to="471.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" strokecolor="windowText" strokeweight=".5pt">
                <v:stroke joinstyle="miter"/>
              </v:line>
            </w:pict>
          </mc:Fallback>
        </mc:AlternateContent>
      </w:r>
    </w:p>
    <w:tbl>
      <w:tblPr>
        <w:tblStyle w:val="TableGrid"/>
        <w:tblW w:w="14742" w:type="dxa"/>
        <w:tblInd w:w="108" w:type="dxa"/>
        <w:tblLook w:val="04A0" w:firstRow="1" w:lastRow="0" w:firstColumn="1" w:lastColumn="0" w:noHBand="0" w:noVBand="1"/>
      </w:tblPr>
      <w:tblGrid>
        <w:gridCol w:w="566"/>
        <w:gridCol w:w="1191"/>
        <w:gridCol w:w="1787"/>
        <w:gridCol w:w="3969"/>
        <w:gridCol w:w="849"/>
        <w:gridCol w:w="918"/>
        <w:gridCol w:w="5462"/>
      </w:tblGrid>
      <w:tr w:rsidR="00DE1317" w:rsidRPr="007959DE" w:rsidTr="00DE1317">
        <w:trPr>
          <w:trHeight w:val="84"/>
        </w:trPr>
        <w:tc>
          <w:tcPr>
            <w:tcW w:w="566" w:type="dxa"/>
            <w:vMerge w:val="restart"/>
            <w:vAlign w:val="center"/>
          </w:tcPr>
          <w:p w:rsidR="00DE1317" w:rsidRPr="007959DE" w:rsidRDefault="00DE1317" w:rsidP="00215971">
            <w:pPr>
              <w:spacing w:afterLines="60" w:after="144"/>
              <w:jc w:val="center"/>
              <w:rPr>
                <w:rFonts w:eastAsia="Calibri" w:cs="Times New Roman"/>
                <w:b/>
                <w:color w:val="000000"/>
                <w:sz w:val="26"/>
                <w:szCs w:val="26"/>
              </w:rPr>
            </w:pPr>
            <w:r w:rsidRPr="007959DE">
              <w:rPr>
                <w:rFonts w:eastAsia="Calibri" w:cs="Times New Roman"/>
                <w:b/>
                <w:color w:val="000000"/>
                <w:sz w:val="26"/>
                <w:szCs w:val="26"/>
              </w:rPr>
              <w:t>Stt</w:t>
            </w:r>
          </w:p>
        </w:tc>
        <w:tc>
          <w:tcPr>
            <w:tcW w:w="1191" w:type="dxa"/>
            <w:vMerge w:val="restart"/>
            <w:vAlign w:val="center"/>
          </w:tcPr>
          <w:p w:rsidR="00DE1317" w:rsidRPr="007959DE" w:rsidRDefault="00DE1317" w:rsidP="00215971">
            <w:pPr>
              <w:spacing w:afterLines="300" w:after="720"/>
              <w:jc w:val="center"/>
              <w:rPr>
                <w:rFonts w:eastAsia="Calibri" w:cs="Times New Roman"/>
                <w:b/>
                <w:color w:val="000000"/>
                <w:sz w:val="26"/>
                <w:szCs w:val="26"/>
              </w:rPr>
            </w:pPr>
            <w:r w:rsidRPr="007959DE">
              <w:rPr>
                <w:rFonts w:eastAsia="Calibri" w:cs="Times New Roman"/>
                <w:b/>
                <w:color w:val="000000"/>
                <w:sz w:val="26"/>
                <w:szCs w:val="26"/>
              </w:rPr>
              <w:t>Mã số TTHC</w:t>
            </w:r>
          </w:p>
        </w:tc>
        <w:tc>
          <w:tcPr>
            <w:tcW w:w="1787" w:type="dxa"/>
            <w:vMerge w:val="restart"/>
            <w:vAlign w:val="center"/>
          </w:tcPr>
          <w:p w:rsidR="00DE1317" w:rsidRPr="007959DE" w:rsidRDefault="00DE1317" w:rsidP="00215971">
            <w:pPr>
              <w:spacing w:afterLines="60" w:after="144"/>
              <w:jc w:val="center"/>
              <w:rPr>
                <w:rFonts w:eastAsia="Calibri" w:cs="Times New Roman"/>
                <w:b/>
                <w:color w:val="000000"/>
                <w:sz w:val="26"/>
                <w:szCs w:val="26"/>
              </w:rPr>
            </w:pPr>
            <w:r w:rsidRPr="007959DE">
              <w:rPr>
                <w:rFonts w:eastAsia="Calibri" w:cs="Times New Roman"/>
                <w:b/>
                <w:color w:val="000000"/>
                <w:sz w:val="26"/>
                <w:szCs w:val="26"/>
              </w:rPr>
              <w:t>Tên TTHC</w:t>
            </w:r>
          </w:p>
        </w:tc>
        <w:tc>
          <w:tcPr>
            <w:tcW w:w="3969" w:type="dxa"/>
            <w:vMerge w:val="restart"/>
            <w:vAlign w:val="center"/>
          </w:tcPr>
          <w:p w:rsidR="00DE1317" w:rsidRPr="007959DE" w:rsidRDefault="00DE1317" w:rsidP="00215971">
            <w:pPr>
              <w:spacing w:after="120"/>
              <w:jc w:val="center"/>
              <w:rPr>
                <w:rFonts w:eastAsia="Calibri" w:cs="Times New Roman"/>
                <w:b/>
                <w:color w:val="000000"/>
                <w:sz w:val="26"/>
                <w:szCs w:val="26"/>
                <w:lang w:val="vi-VN"/>
              </w:rPr>
            </w:pPr>
            <w:r w:rsidRPr="007959DE">
              <w:rPr>
                <w:rFonts w:eastAsia="Calibri" w:cs="Times New Roman"/>
                <w:b/>
                <w:color w:val="000000"/>
                <w:sz w:val="26"/>
                <w:szCs w:val="26"/>
              </w:rPr>
              <w:t>Địa điểm tiếp</w:t>
            </w:r>
            <w:r w:rsidRPr="007959DE">
              <w:rPr>
                <w:rFonts w:eastAsia="Calibri" w:cs="Times New Roman"/>
                <w:b/>
                <w:color w:val="000000"/>
                <w:sz w:val="26"/>
                <w:szCs w:val="26"/>
                <w:lang w:val="vi-VN"/>
              </w:rPr>
              <w:t xml:space="preserve"> nhận</w:t>
            </w:r>
          </w:p>
        </w:tc>
        <w:tc>
          <w:tcPr>
            <w:tcW w:w="1767" w:type="dxa"/>
            <w:gridSpan w:val="2"/>
            <w:vAlign w:val="center"/>
          </w:tcPr>
          <w:p w:rsidR="00DE1317" w:rsidRPr="007959DE" w:rsidRDefault="00DE1317" w:rsidP="00215971">
            <w:pPr>
              <w:spacing w:afterLines="60" w:after="144"/>
              <w:jc w:val="center"/>
              <w:rPr>
                <w:rFonts w:eastAsia="Calibri" w:cs="Times New Roman"/>
                <w:b/>
                <w:color w:val="000000"/>
                <w:sz w:val="26"/>
                <w:szCs w:val="26"/>
              </w:rPr>
            </w:pPr>
            <w:r w:rsidRPr="007959DE">
              <w:rPr>
                <w:rFonts w:eastAsia="Calibri" w:cs="Times New Roman"/>
                <w:b/>
                <w:color w:val="000000"/>
                <w:sz w:val="26"/>
                <w:szCs w:val="26"/>
              </w:rPr>
              <w:t>Dịch vụ công trực tuyến</w:t>
            </w:r>
          </w:p>
        </w:tc>
        <w:tc>
          <w:tcPr>
            <w:tcW w:w="5462" w:type="dxa"/>
            <w:vMerge w:val="restart"/>
            <w:vAlign w:val="center"/>
          </w:tcPr>
          <w:p w:rsidR="00DE1317" w:rsidRPr="007959DE" w:rsidRDefault="00DE1317" w:rsidP="00215971">
            <w:pPr>
              <w:spacing w:afterLines="60" w:after="144"/>
              <w:jc w:val="center"/>
              <w:rPr>
                <w:rFonts w:eastAsia="Calibri" w:cs="Times New Roman"/>
                <w:b/>
                <w:color w:val="000000"/>
                <w:sz w:val="26"/>
                <w:szCs w:val="26"/>
              </w:rPr>
            </w:pPr>
          </w:p>
          <w:p w:rsidR="00DE1317" w:rsidRPr="007959DE" w:rsidRDefault="00DE1317" w:rsidP="00215971">
            <w:pPr>
              <w:spacing w:afterLines="60" w:after="144"/>
              <w:jc w:val="center"/>
              <w:rPr>
                <w:rFonts w:eastAsia="Calibri" w:cs="Times New Roman"/>
                <w:b/>
                <w:color w:val="000000"/>
                <w:sz w:val="26"/>
                <w:szCs w:val="26"/>
              </w:rPr>
            </w:pPr>
            <w:r w:rsidRPr="007959DE">
              <w:rPr>
                <w:rFonts w:eastAsia="Calibri" w:cs="Times New Roman"/>
                <w:b/>
                <w:color w:val="000000"/>
                <w:sz w:val="26"/>
                <w:szCs w:val="26"/>
              </w:rPr>
              <w:t>Tên VBQPPL quy định</w:t>
            </w:r>
          </w:p>
        </w:tc>
      </w:tr>
      <w:tr w:rsidR="00DE1317" w:rsidRPr="007959DE" w:rsidTr="00DE1317">
        <w:trPr>
          <w:trHeight w:val="152"/>
          <w:tblHeader/>
        </w:trPr>
        <w:tc>
          <w:tcPr>
            <w:tcW w:w="566" w:type="dxa"/>
            <w:vMerge/>
            <w:vAlign w:val="center"/>
          </w:tcPr>
          <w:p w:rsidR="00DE1317" w:rsidRPr="007959DE" w:rsidRDefault="00DE1317" w:rsidP="00215971">
            <w:pPr>
              <w:spacing w:afterLines="60" w:after="144"/>
              <w:rPr>
                <w:rFonts w:eastAsia="Calibri" w:cs="Times New Roman"/>
                <w:b/>
                <w:color w:val="000000"/>
                <w:sz w:val="26"/>
                <w:szCs w:val="26"/>
              </w:rPr>
            </w:pPr>
          </w:p>
        </w:tc>
        <w:tc>
          <w:tcPr>
            <w:tcW w:w="1191" w:type="dxa"/>
            <w:vMerge/>
          </w:tcPr>
          <w:p w:rsidR="00DE1317" w:rsidRPr="007959DE" w:rsidRDefault="00DE1317" w:rsidP="00215971">
            <w:pPr>
              <w:spacing w:afterLines="300" w:after="720"/>
              <w:rPr>
                <w:rFonts w:eastAsia="Calibri" w:cs="Times New Roman"/>
                <w:b/>
                <w:color w:val="000000"/>
                <w:sz w:val="26"/>
                <w:szCs w:val="26"/>
              </w:rPr>
            </w:pPr>
          </w:p>
        </w:tc>
        <w:tc>
          <w:tcPr>
            <w:tcW w:w="1787" w:type="dxa"/>
            <w:vMerge/>
            <w:vAlign w:val="center"/>
          </w:tcPr>
          <w:p w:rsidR="00DE1317" w:rsidRPr="007959DE" w:rsidRDefault="00DE1317" w:rsidP="00215971">
            <w:pPr>
              <w:spacing w:afterLines="60" w:after="144"/>
              <w:rPr>
                <w:rFonts w:eastAsia="Calibri" w:cs="Times New Roman"/>
                <w:b/>
                <w:color w:val="000000"/>
                <w:sz w:val="26"/>
                <w:szCs w:val="26"/>
              </w:rPr>
            </w:pPr>
          </w:p>
        </w:tc>
        <w:tc>
          <w:tcPr>
            <w:tcW w:w="3969" w:type="dxa"/>
            <w:vMerge/>
            <w:vAlign w:val="center"/>
          </w:tcPr>
          <w:p w:rsidR="00DE1317" w:rsidRPr="007959DE" w:rsidRDefault="00DE1317" w:rsidP="00215971">
            <w:pPr>
              <w:spacing w:after="120"/>
              <w:rPr>
                <w:rFonts w:eastAsia="Calibri" w:cs="Times New Roman"/>
                <w:b/>
                <w:color w:val="000000"/>
                <w:sz w:val="26"/>
                <w:szCs w:val="26"/>
              </w:rPr>
            </w:pPr>
          </w:p>
        </w:tc>
        <w:tc>
          <w:tcPr>
            <w:tcW w:w="849" w:type="dxa"/>
            <w:vAlign w:val="center"/>
          </w:tcPr>
          <w:p w:rsidR="00DE1317" w:rsidRPr="007959DE" w:rsidRDefault="00DE1317" w:rsidP="00215971">
            <w:pPr>
              <w:spacing w:after="120"/>
              <w:jc w:val="center"/>
              <w:rPr>
                <w:rFonts w:eastAsia="Calibri" w:cs="Times New Roman"/>
                <w:b/>
                <w:color w:val="000000"/>
                <w:sz w:val="26"/>
                <w:szCs w:val="26"/>
              </w:rPr>
            </w:pPr>
            <w:r w:rsidRPr="007959DE">
              <w:rPr>
                <w:rFonts w:eastAsia="Calibri" w:cs="Times New Roman"/>
                <w:b/>
                <w:color w:val="000000"/>
                <w:sz w:val="26"/>
                <w:szCs w:val="26"/>
              </w:rPr>
              <w:t>Một phần</w:t>
            </w:r>
          </w:p>
        </w:tc>
        <w:tc>
          <w:tcPr>
            <w:tcW w:w="918" w:type="dxa"/>
            <w:vAlign w:val="center"/>
          </w:tcPr>
          <w:p w:rsidR="00DE1317" w:rsidRPr="007959DE" w:rsidRDefault="00DE1317" w:rsidP="00215971">
            <w:pPr>
              <w:spacing w:afterLines="60" w:after="144"/>
              <w:rPr>
                <w:rFonts w:eastAsia="Calibri" w:cs="Times New Roman"/>
                <w:b/>
                <w:color w:val="000000"/>
                <w:sz w:val="26"/>
                <w:szCs w:val="26"/>
              </w:rPr>
            </w:pPr>
            <w:r w:rsidRPr="007959DE">
              <w:rPr>
                <w:rFonts w:eastAsia="Calibri" w:cs="Times New Roman"/>
                <w:b/>
                <w:color w:val="000000"/>
                <w:sz w:val="26"/>
                <w:szCs w:val="26"/>
              </w:rPr>
              <w:t>Toàn trình</w:t>
            </w:r>
          </w:p>
        </w:tc>
        <w:tc>
          <w:tcPr>
            <w:tcW w:w="5462" w:type="dxa"/>
            <w:vMerge/>
            <w:vAlign w:val="center"/>
          </w:tcPr>
          <w:p w:rsidR="00DE1317" w:rsidRPr="007959DE" w:rsidRDefault="00DE1317" w:rsidP="00215971">
            <w:pPr>
              <w:spacing w:afterLines="60" w:after="144"/>
              <w:rPr>
                <w:rFonts w:eastAsia="Calibri" w:cs="Times New Roman"/>
                <w:b/>
                <w:color w:val="000000"/>
                <w:sz w:val="26"/>
                <w:szCs w:val="26"/>
              </w:rPr>
            </w:pPr>
          </w:p>
        </w:tc>
      </w:tr>
      <w:tr w:rsidR="00DE1317" w:rsidRPr="007959DE" w:rsidTr="00DE1317">
        <w:trPr>
          <w:trHeight w:val="152"/>
        </w:trPr>
        <w:tc>
          <w:tcPr>
            <w:tcW w:w="566" w:type="dxa"/>
          </w:tcPr>
          <w:p w:rsidR="00DE1317" w:rsidRPr="007959DE" w:rsidRDefault="00DE1317" w:rsidP="00215971">
            <w:pPr>
              <w:spacing w:afterLines="60" w:after="144"/>
              <w:rPr>
                <w:rFonts w:eastAsia="Calibri" w:cs="Times New Roman"/>
                <w:color w:val="000000"/>
                <w:sz w:val="26"/>
                <w:szCs w:val="26"/>
              </w:rPr>
            </w:pPr>
            <w:r w:rsidRPr="007959DE">
              <w:rPr>
                <w:rFonts w:eastAsia="Calibri" w:cs="Times New Roman"/>
                <w:color w:val="000000"/>
                <w:sz w:val="26"/>
                <w:szCs w:val="26"/>
              </w:rPr>
              <w:t>1</w:t>
            </w:r>
          </w:p>
        </w:tc>
        <w:tc>
          <w:tcPr>
            <w:tcW w:w="1191" w:type="dxa"/>
          </w:tcPr>
          <w:p w:rsidR="00DE1317" w:rsidRPr="007959DE" w:rsidRDefault="00DE1317" w:rsidP="00215971">
            <w:pPr>
              <w:spacing w:afterLines="300" w:after="720"/>
              <w:rPr>
                <w:rFonts w:eastAsia="Times New Roman" w:cs="Times New Roman"/>
                <w:sz w:val="26"/>
                <w:szCs w:val="26"/>
              </w:rPr>
            </w:pPr>
            <w:r w:rsidRPr="00DE1317">
              <w:rPr>
                <w:bCs/>
                <w:sz w:val="26"/>
                <w:szCs w:val="26"/>
                <w:shd w:val="clear" w:color="auto" w:fill="FFFFFF"/>
              </w:rPr>
              <w:t>2.001895</w:t>
            </w:r>
          </w:p>
        </w:tc>
        <w:tc>
          <w:tcPr>
            <w:tcW w:w="1787" w:type="dxa"/>
          </w:tcPr>
          <w:p w:rsidR="00DE1317" w:rsidRPr="007959DE" w:rsidRDefault="00DE1317" w:rsidP="00215971">
            <w:pPr>
              <w:spacing w:after="60"/>
              <w:rPr>
                <w:rFonts w:eastAsia="Calibri" w:cs="Times New Roman"/>
                <w:sz w:val="26"/>
                <w:szCs w:val="26"/>
              </w:rPr>
            </w:pPr>
            <w:r w:rsidRPr="00DE1317">
              <w:rPr>
                <w:rFonts w:eastAsia="Times New Roman" w:cs="Times New Roman"/>
                <w:sz w:val="26"/>
                <w:szCs w:val="26"/>
              </w:rPr>
              <w:t>Thủ tục cấp Giấy xác nhận là người gốc Việt Nam</w:t>
            </w:r>
          </w:p>
        </w:tc>
        <w:tc>
          <w:tcPr>
            <w:tcW w:w="3969" w:type="dxa"/>
          </w:tcPr>
          <w:p w:rsidR="00DE1317" w:rsidRPr="00F04BDC" w:rsidRDefault="00DE1317"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tỉnh Hưng Yên</w:t>
            </w:r>
          </w:p>
          <w:p w:rsidR="00DE1317" w:rsidRPr="00F04BDC" w:rsidRDefault="00DE1317"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Trụ sở chính: Số 2, đường Chùa Chuông, phường Phố Hiến, tỉnh Hưng Yên</w:t>
            </w:r>
          </w:p>
          <w:p w:rsidR="00DE1317" w:rsidRPr="00F04BDC" w:rsidRDefault="00DE1317"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Cơ sở 2: Nhà triển lãm thông tin, phường Thái Bình, tỉnh Hưng Yên</w:t>
            </w:r>
          </w:p>
          <w:p w:rsidR="00DE1317" w:rsidRPr="007959DE" w:rsidRDefault="00DE1317" w:rsidP="00215971">
            <w:pPr>
              <w:tabs>
                <w:tab w:val="left" w:pos="3090"/>
              </w:tabs>
              <w:spacing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9" w:type="dxa"/>
          </w:tcPr>
          <w:p w:rsidR="00DE1317" w:rsidRPr="007959DE" w:rsidRDefault="00FB6D1F" w:rsidP="00215971">
            <w:pPr>
              <w:spacing w:after="60"/>
              <w:rPr>
                <w:rFonts w:eastAsia="Calibri" w:cs="Times New Roman"/>
                <w:color w:val="000000"/>
                <w:sz w:val="26"/>
                <w:szCs w:val="26"/>
              </w:rPr>
            </w:pPr>
            <w:r w:rsidRPr="007959DE">
              <w:rPr>
                <w:rFonts w:eastAsia="Calibri" w:cs="Times New Roman"/>
                <w:color w:val="000000"/>
                <w:sz w:val="26"/>
                <w:szCs w:val="26"/>
              </w:rPr>
              <w:t>x</w:t>
            </w:r>
          </w:p>
        </w:tc>
        <w:tc>
          <w:tcPr>
            <w:tcW w:w="918" w:type="dxa"/>
          </w:tcPr>
          <w:p w:rsidR="00DE1317" w:rsidRPr="007959DE" w:rsidRDefault="00DE1317" w:rsidP="00215971">
            <w:pPr>
              <w:spacing w:afterLines="60" w:after="144"/>
              <w:rPr>
                <w:rFonts w:eastAsia="Calibri" w:cs="Times New Roman"/>
                <w:color w:val="000000"/>
                <w:sz w:val="26"/>
                <w:szCs w:val="26"/>
              </w:rPr>
            </w:pPr>
          </w:p>
        </w:tc>
        <w:tc>
          <w:tcPr>
            <w:tcW w:w="5462" w:type="dxa"/>
          </w:tcPr>
          <w:p w:rsidR="00DE1317" w:rsidRDefault="00DE1317" w:rsidP="00215971">
            <w:pPr>
              <w:shd w:val="clear" w:color="auto" w:fill="FFFFFF"/>
              <w:spacing w:after="60"/>
              <w:rPr>
                <w:sz w:val="26"/>
                <w:szCs w:val="26"/>
              </w:rPr>
            </w:pPr>
            <w:r>
              <w:rPr>
                <w:sz w:val="26"/>
                <w:szCs w:val="26"/>
              </w:rPr>
              <w:t xml:space="preserve">- </w:t>
            </w:r>
            <w:r w:rsidRPr="005B2FDC">
              <w:rPr>
                <w:sz w:val="26"/>
                <w:szCs w:val="26"/>
              </w:rPr>
              <w:t>Nghị quyết số 66.7/2025/NQ-CP ngày 15 tháng 11 năm 2025 của Chính phủ quy định cắt giảm, đơn giản hóa thủ tục hành chính dựa trên dữ liệu</w:t>
            </w:r>
            <w:r>
              <w:rPr>
                <w:sz w:val="26"/>
                <w:szCs w:val="26"/>
              </w:rPr>
              <w:t>;</w:t>
            </w:r>
          </w:p>
          <w:p w:rsidR="00DE1317" w:rsidRPr="007959DE" w:rsidRDefault="00DE1317" w:rsidP="00215971">
            <w:pPr>
              <w:shd w:val="clear" w:color="auto" w:fill="FFFFFF"/>
              <w:spacing w:after="60"/>
              <w:rPr>
                <w:rFonts w:ascii="Arial" w:eastAsia="Times New Roman" w:hAnsi="Arial" w:cs="Arial"/>
                <w:color w:val="333333"/>
                <w:sz w:val="21"/>
                <w:szCs w:val="21"/>
              </w:rPr>
            </w:pPr>
            <w:r>
              <w:rPr>
                <w:sz w:val="26"/>
                <w:szCs w:val="26"/>
              </w:rPr>
              <w:t xml:space="preserve">- </w:t>
            </w:r>
            <w:r w:rsidRPr="00DE1317">
              <w:rPr>
                <w:sz w:val="26"/>
                <w:szCs w:val="26"/>
              </w:rPr>
              <w:t>Quyết định số 3713/QĐ-BTP ngày 26/12/2025 của Bộ trưởng Bộ Tư pháp về việc công bố thủ tục hành chính được sửa đổi, bổ sung trong lĩnh vực quốc tịch thuộc phạm vi chức năng quản lý của Bộ Tư pháp</w:t>
            </w:r>
            <w:r>
              <w:rPr>
                <w:sz w:val="26"/>
                <w:szCs w:val="26"/>
              </w:rPr>
              <w:t>.</w:t>
            </w:r>
          </w:p>
        </w:tc>
      </w:tr>
      <w:tr w:rsidR="00DE1317" w:rsidRPr="007959DE" w:rsidTr="00DE1317">
        <w:trPr>
          <w:trHeight w:val="152"/>
        </w:trPr>
        <w:tc>
          <w:tcPr>
            <w:tcW w:w="566" w:type="dxa"/>
          </w:tcPr>
          <w:p w:rsidR="00DE1317" w:rsidRPr="007959DE" w:rsidRDefault="00DE1317" w:rsidP="00215971">
            <w:pPr>
              <w:spacing w:afterLines="60" w:after="144"/>
              <w:rPr>
                <w:rFonts w:eastAsia="Calibri" w:cs="Times New Roman"/>
                <w:color w:val="000000"/>
                <w:sz w:val="26"/>
                <w:szCs w:val="26"/>
              </w:rPr>
            </w:pPr>
            <w:r>
              <w:rPr>
                <w:rFonts w:eastAsia="Calibri" w:cs="Times New Roman"/>
                <w:color w:val="000000"/>
                <w:sz w:val="26"/>
                <w:szCs w:val="26"/>
              </w:rPr>
              <w:t>2</w:t>
            </w:r>
          </w:p>
        </w:tc>
        <w:tc>
          <w:tcPr>
            <w:tcW w:w="1191" w:type="dxa"/>
          </w:tcPr>
          <w:p w:rsidR="00DE1317" w:rsidRPr="007959DE" w:rsidRDefault="00DE1317" w:rsidP="00215971">
            <w:pPr>
              <w:spacing w:afterLines="300" w:after="720"/>
              <w:rPr>
                <w:rFonts w:eastAsia="Times New Roman" w:cs="Times New Roman"/>
                <w:sz w:val="26"/>
                <w:szCs w:val="26"/>
              </w:rPr>
            </w:pPr>
            <w:r w:rsidRPr="00DE1317">
              <w:rPr>
                <w:sz w:val="26"/>
                <w:szCs w:val="26"/>
              </w:rPr>
              <w:t>2.002039</w:t>
            </w:r>
          </w:p>
        </w:tc>
        <w:tc>
          <w:tcPr>
            <w:tcW w:w="1787" w:type="dxa"/>
          </w:tcPr>
          <w:p w:rsidR="00DE1317" w:rsidRPr="007959DE" w:rsidRDefault="00DE1317" w:rsidP="00215971">
            <w:pPr>
              <w:spacing w:after="60"/>
              <w:rPr>
                <w:rFonts w:eastAsia="Calibri" w:cs="Times New Roman"/>
                <w:sz w:val="26"/>
                <w:szCs w:val="26"/>
              </w:rPr>
            </w:pPr>
            <w:r w:rsidRPr="00DE1317">
              <w:rPr>
                <w:rFonts w:eastAsia="Times New Roman" w:cs="Times New Roman"/>
                <w:sz w:val="26"/>
                <w:szCs w:val="26"/>
              </w:rPr>
              <w:t>Thủ tục nhập quốc tịch Việt Nam ở trong nước</w:t>
            </w:r>
          </w:p>
        </w:tc>
        <w:tc>
          <w:tcPr>
            <w:tcW w:w="3969" w:type="dxa"/>
          </w:tcPr>
          <w:p w:rsidR="00DE1317" w:rsidRPr="00F04BDC" w:rsidRDefault="00DE1317"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tỉnh Hưng Yên</w:t>
            </w:r>
          </w:p>
          <w:p w:rsidR="00DE1317" w:rsidRPr="00F04BDC" w:rsidRDefault="00DE1317"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Trụ sở chính: Số 2, đường Chùa Chuông, phường Phố Hiến, tỉnh Hưng Yên</w:t>
            </w:r>
          </w:p>
          <w:p w:rsidR="00DE1317" w:rsidRPr="00F04BDC" w:rsidRDefault="00DE1317"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Cơ sở 2: Nhà triển lãm thông tin, phường Thái Bình, tỉnh Hưng Yên</w:t>
            </w:r>
          </w:p>
          <w:p w:rsidR="00DE1317" w:rsidRPr="007959DE" w:rsidRDefault="00DE1317" w:rsidP="00215971">
            <w:pPr>
              <w:tabs>
                <w:tab w:val="left" w:pos="3090"/>
              </w:tabs>
              <w:spacing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9" w:type="dxa"/>
          </w:tcPr>
          <w:p w:rsidR="00DE1317" w:rsidRPr="007959DE" w:rsidRDefault="00DE1317" w:rsidP="00215971">
            <w:pPr>
              <w:spacing w:after="60"/>
              <w:rPr>
                <w:rFonts w:eastAsia="Calibri" w:cs="Times New Roman"/>
                <w:color w:val="000000"/>
                <w:sz w:val="26"/>
                <w:szCs w:val="26"/>
              </w:rPr>
            </w:pPr>
            <w:r w:rsidRPr="007959DE">
              <w:rPr>
                <w:rFonts w:eastAsia="Calibri" w:cs="Times New Roman"/>
                <w:color w:val="000000"/>
                <w:sz w:val="26"/>
                <w:szCs w:val="26"/>
              </w:rPr>
              <w:t>x</w:t>
            </w:r>
          </w:p>
        </w:tc>
        <w:tc>
          <w:tcPr>
            <w:tcW w:w="918" w:type="dxa"/>
          </w:tcPr>
          <w:p w:rsidR="00DE1317" w:rsidRPr="007959DE" w:rsidRDefault="00DE1317" w:rsidP="00215971">
            <w:pPr>
              <w:spacing w:afterLines="60" w:after="144"/>
              <w:rPr>
                <w:rFonts w:eastAsia="Calibri" w:cs="Times New Roman"/>
                <w:color w:val="000000"/>
                <w:sz w:val="26"/>
                <w:szCs w:val="26"/>
              </w:rPr>
            </w:pPr>
          </w:p>
        </w:tc>
        <w:tc>
          <w:tcPr>
            <w:tcW w:w="5462" w:type="dxa"/>
          </w:tcPr>
          <w:p w:rsidR="00DE1317" w:rsidRDefault="00DE1317" w:rsidP="00215971">
            <w:pPr>
              <w:shd w:val="clear" w:color="auto" w:fill="FFFFFF"/>
              <w:spacing w:after="60"/>
              <w:rPr>
                <w:sz w:val="26"/>
                <w:szCs w:val="26"/>
              </w:rPr>
            </w:pPr>
            <w:r>
              <w:rPr>
                <w:sz w:val="26"/>
                <w:szCs w:val="26"/>
              </w:rPr>
              <w:t xml:space="preserve">- </w:t>
            </w:r>
            <w:r w:rsidRPr="005B2FDC">
              <w:rPr>
                <w:sz w:val="26"/>
                <w:szCs w:val="26"/>
              </w:rPr>
              <w:t>Nghị quyết số 66.7/2025/NQ-CP ngày 15 tháng 11 năm 2025 của Chính phủ quy định cắt giảm, đơn giản hóa thủ tục hành chính dựa trên dữ liệu</w:t>
            </w:r>
            <w:r>
              <w:rPr>
                <w:sz w:val="26"/>
                <w:szCs w:val="26"/>
              </w:rPr>
              <w:t>;</w:t>
            </w:r>
          </w:p>
          <w:p w:rsidR="00DE1317" w:rsidRPr="007959DE" w:rsidRDefault="00DE1317" w:rsidP="00215971">
            <w:pPr>
              <w:shd w:val="clear" w:color="auto" w:fill="FFFFFF"/>
              <w:spacing w:after="60"/>
              <w:rPr>
                <w:rFonts w:ascii="Arial" w:eastAsia="Times New Roman" w:hAnsi="Arial" w:cs="Arial"/>
                <w:color w:val="333333"/>
                <w:sz w:val="21"/>
                <w:szCs w:val="21"/>
              </w:rPr>
            </w:pPr>
            <w:r>
              <w:rPr>
                <w:sz w:val="26"/>
                <w:szCs w:val="26"/>
              </w:rPr>
              <w:t xml:space="preserve">- </w:t>
            </w:r>
            <w:r w:rsidRPr="00DE1317">
              <w:rPr>
                <w:sz w:val="26"/>
                <w:szCs w:val="26"/>
              </w:rPr>
              <w:t>Quyết định số 3713/QĐ-BTP ngày 26/12/2025 của Bộ trưởng Bộ Tư pháp về việc công bố thủ tục hành chính được sửa đổi, bổ sung trong lĩnh vực quốc tịch thuộc phạm vi chức năng quản lý của Bộ Tư pháp</w:t>
            </w:r>
            <w:r>
              <w:rPr>
                <w:sz w:val="26"/>
                <w:szCs w:val="26"/>
              </w:rPr>
              <w:t>.</w:t>
            </w:r>
          </w:p>
        </w:tc>
      </w:tr>
      <w:tr w:rsidR="00FB6D1F" w:rsidRPr="007959DE" w:rsidTr="00DE1317">
        <w:trPr>
          <w:trHeight w:val="152"/>
        </w:trPr>
        <w:tc>
          <w:tcPr>
            <w:tcW w:w="566" w:type="dxa"/>
          </w:tcPr>
          <w:p w:rsidR="00FB6D1F" w:rsidRPr="007959DE" w:rsidRDefault="00FB6D1F" w:rsidP="00215971">
            <w:pPr>
              <w:spacing w:afterLines="60" w:after="144"/>
              <w:rPr>
                <w:rFonts w:eastAsia="Calibri" w:cs="Times New Roman"/>
                <w:color w:val="000000"/>
                <w:sz w:val="26"/>
                <w:szCs w:val="26"/>
              </w:rPr>
            </w:pPr>
            <w:r>
              <w:rPr>
                <w:rFonts w:eastAsia="Calibri" w:cs="Times New Roman"/>
                <w:color w:val="000000"/>
                <w:sz w:val="26"/>
                <w:szCs w:val="26"/>
              </w:rPr>
              <w:lastRenderedPageBreak/>
              <w:t>3</w:t>
            </w:r>
          </w:p>
        </w:tc>
        <w:tc>
          <w:tcPr>
            <w:tcW w:w="1191" w:type="dxa"/>
          </w:tcPr>
          <w:p w:rsidR="00FB6D1F" w:rsidRPr="007959DE" w:rsidRDefault="00FB6D1F" w:rsidP="00215971">
            <w:pPr>
              <w:spacing w:afterLines="300" w:after="720"/>
              <w:rPr>
                <w:rFonts w:eastAsia="Times New Roman" w:cs="Times New Roman"/>
                <w:sz w:val="26"/>
                <w:szCs w:val="26"/>
              </w:rPr>
            </w:pPr>
            <w:r w:rsidRPr="00DE1317">
              <w:rPr>
                <w:sz w:val="26"/>
                <w:szCs w:val="26"/>
              </w:rPr>
              <w:t>2.002038</w:t>
            </w:r>
          </w:p>
        </w:tc>
        <w:tc>
          <w:tcPr>
            <w:tcW w:w="1787" w:type="dxa"/>
          </w:tcPr>
          <w:p w:rsidR="00FB6D1F" w:rsidRPr="007959DE" w:rsidRDefault="00FB6D1F" w:rsidP="00215971">
            <w:pPr>
              <w:spacing w:after="60"/>
              <w:rPr>
                <w:rFonts w:eastAsia="Times New Roman" w:cs="Times New Roman"/>
                <w:sz w:val="26"/>
                <w:szCs w:val="26"/>
              </w:rPr>
            </w:pPr>
            <w:r w:rsidRPr="00DE1317">
              <w:rPr>
                <w:sz w:val="26"/>
                <w:szCs w:val="26"/>
              </w:rPr>
              <w:t>Thủ tục trở lại quốc tịch Việt Nam ở trong nước</w:t>
            </w:r>
          </w:p>
        </w:tc>
        <w:tc>
          <w:tcPr>
            <w:tcW w:w="3969" w:type="dxa"/>
          </w:tcPr>
          <w:p w:rsidR="00FB6D1F" w:rsidRPr="00F04BDC" w:rsidRDefault="00FB6D1F"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tỉnh Hưng Yên</w:t>
            </w:r>
          </w:p>
          <w:p w:rsidR="00FB6D1F" w:rsidRPr="00F04BDC" w:rsidRDefault="00FB6D1F"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Trụ sở chính: Số 2, đường Chùa Chuông, phường Phố Hiến, tỉnh Hưng Yên</w:t>
            </w:r>
          </w:p>
          <w:p w:rsidR="00FB6D1F" w:rsidRPr="00F04BDC" w:rsidRDefault="00FB6D1F"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Cơ sở 2: Nhà triển lãm thông tin, phường Thái Bình, tỉnh Hưng Yên</w:t>
            </w:r>
          </w:p>
          <w:p w:rsidR="00FB6D1F" w:rsidRPr="007959DE" w:rsidRDefault="00FB6D1F" w:rsidP="00215971">
            <w:pPr>
              <w:tabs>
                <w:tab w:val="left" w:pos="3090"/>
              </w:tabs>
              <w:spacing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9" w:type="dxa"/>
          </w:tcPr>
          <w:p w:rsidR="00FB6D1F" w:rsidRPr="007959DE" w:rsidRDefault="00FB6D1F" w:rsidP="00215971">
            <w:pPr>
              <w:spacing w:afterLines="60" w:after="144"/>
              <w:rPr>
                <w:rFonts w:eastAsia="Calibri" w:cs="Times New Roman"/>
                <w:color w:val="000000"/>
                <w:sz w:val="26"/>
                <w:szCs w:val="26"/>
              </w:rPr>
            </w:pPr>
            <w:r w:rsidRPr="007959DE">
              <w:rPr>
                <w:rFonts w:eastAsia="Calibri" w:cs="Times New Roman"/>
                <w:color w:val="000000"/>
                <w:sz w:val="26"/>
                <w:szCs w:val="26"/>
              </w:rPr>
              <w:t>x</w:t>
            </w:r>
          </w:p>
        </w:tc>
        <w:tc>
          <w:tcPr>
            <w:tcW w:w="918" w:type="dxa"/>
          </w:tcPr>
          <w:p w:rsidR="00FB6D1F" w:rsidRPr="007959DE" w:rsidRDefault="00FB6D1F" w:rsidP="00215971">
            <w:pPr>
              <w:spacing w:afterLines="60" w:after="144"/>
              <w:rPr>
                <w:rFonts w:eastAsia="Calibri" w:cs="Times New Roman"/>
                <w:color w:val="000000"/>
                <w:sz w:val="26"/>
                <w:szCs w:val="26"/>
              </w:rPr>
            </w:pPr>
          </w:p>
        </w:tc>
        <w:tc>
          <w:tcPr>
            <w:tcW w:w="5462" w:type="dxa"/>
          </w:tcPr>
          <w:p w:rsidR="00FB6D1F" w:rsidRDefault="00FB6D1F" w:rsidP="00215971">
            <w:pPr>
              <w:shd w:val="clear" w:color="auto" w:fill="FFFFFF"/>
              <w:spacing w:after="60"/>
              <w:rPr>
                <w:sz w:val="26"/>
                <w:szCs w:val="26"/>
              </w:rPr>
            </w:pPr>
            <w:r>
              <w:rPr>
                <w:sz w:val="26"/>
                <w:szCs w:val="26"/>
              </w:rPr>
              <w:t xml:space="preserve">- </w:t>
            </w:r>
            <w:r w:rsidRPr="005B2FDC">
              <w:rPr>
                <w:sz w:val="26"/>
                <w:szCs w:val="26"/>
              </w:rPr>
              <w:t>Nghị quyết số 66.7/2025/NQ-CP ngày 15 tháng 11 năm 2025 của Chính phủ quy định cắt giảm, đơn giản hóa thủ tục hành chính dựa trên dữ liệu</w:t>
            </w:r>
            <w:r>
              <w:rPr>
                <w:sz w:val="26"/>
                <w:szCs w:val="26"/>
              </w:rPr>
              <w:t>;</w:t>
            </w:r>
          </w:p>
          <w:p w:rsidR="00FB6D1F" w:rsidRPr="007959DE" w:rsidRDefault="00FB6D1F" w:rsidP="00215971">
            <w:pPr>
              <w:shd w:val="clear" w:color="auto" w:fill="FFFFFF"/>
              <w:spacing w:after="60"/>
              <w:rPr>
                <w:rFonts w:ascii="Arial" w:eastAsia="Times New Roman" w:hAnsi="Arial" w:cs="Arial"/>
                <w:color w:val="333333"/>
                <w:sz w:val="21"/>
                <w:szCs w:val="21"/>
              </w:rPr>
            </w:pPr>
            <w:r>
              <w:rPr>
                <w:sz w:val="26"/>
                <w:szCs w:val="26"/>
              </w:rPr>
              <w:t xml:space="preserve">- </w:t>
            </w:r>
            <w:r w:rsidRPr="00DE1317">
              <w:rPr>
                <w:sz w:val="26"/>
                <w:szCs w:val="26"/>
              </w:rPr>
              <w:t>Quyết định số 3713/QĐ-BTP ngày 26/12/2025 của Bộ trưởng Bộ Tư pháp về việc công bố thủ tục hành chính được sửa đổi, bổ sung trong lĩnh vực quốc tịch thuộc phạm vi chức năng quản lý của Bộ Tư pháp</w:t>
            </w:r>
            <w:r>
              <w:rPr>
                <w:sz w:val="26"/>
                <w:szCs w:val="26"/>
              </w:rPr>
              <w:t>.</w:t>
            </w:r>
          </w:p>
        </w:tc>
      </w:tr>
      <w:tr w:rsidR="00FB6D1F" w:rsidRPr="007959DE" w:rsidTr="00DE1317">
        <w:trPr>
          <w:trHeight w:val="152"/>
        </w:trPr>
        <w:tc>
          <w:tcPr>
            <w:tcW w:w="566" w:type="dxa"/>
          </w:tcPr>
          <w:p w:rsidR="00FB6D1F" w:rsidRDefault="00FB6D1F" w:rsidP="00215971">
            <w:pPr>
              <w:spacing w:afterLines="60" w:after="144"/>
              <w:rPr>
                <w:rFonts w:eastAsia="Calibri" w:cs="Times New Roman"/>
                <w:color w:val="000000"/>
                <w:sz w:val="26"/>
                <w:szCs w:val="26"/>
              </w:rPr>
            </w:pPr>
            <w:r>
              <w:rPr>
                <w:rFonts w:eastAsia="Calibri" w:cs="Times New Roman"/>
                <w:color w:val="000000"/>
                <w:sz w:val="26"/>
                <w:szCs w:val="26"/>
              </w:rPr>
              <w:t>4</w:t>
            </w:r>
          </w:p>
        </w:tc>
        <w:tc>
          <w:tcPr>
            <w:tcW w:w="1191" w:type="dxa"/>
          </w:tcPr>
          <w:p w:rsidR="00FB6D1F" w:rsidRPr="005B2FDC" w:rsidRDefault="00FB6D1F" w:rsidP="00215971">
            <w:pPr>
              <w:spacing w:afterLines="300" w:after="720"/>
              <w:rPr>
                <w:sz w:val="26"/>
                <w:szCs w:val="26"/>
              </w:rPr>
            </w:pPr>
            <w:r w:rsidRPr="00DE1317">
              <w:rPr>
                <w:sz w:val="26"/>
                <w:szCs w:val="26"/>
              </w:rPr>
              <w:t>2.002036</w:t>
            </w:r>
          </w:p>
        </w:tc>
        <w:tc>
          <w:tcPr>
            <w:tcW w:w="1787" w:type="dxa"/>
          </w:tcPr>
          <w:p w:rsidR="00FB6D1F" w:rsidRPr="005B2FDC" w:rsidRDefault="00FB6D1F" w:rsidP="00215971">
            <w:pPr>
              <w:spacing w:after="60"/>
              <w:rPr>
                <w:sz w:val="26"/>
                <w:szCs w:val="26"/>
              </w:rPr>
            </w:pPr>
            <w:r w:rsidRPr="00DE1317">
              <w:rPr>
                <w:sz w:val="26"/>
                <w:szCs w:val="26"/>
              </w:rPr>
              <w:t>Thủ tục thôi quốc tịch Việt Nam ở trong nước</w:t>
            </w:r>
          </w:p>
        </w:tc>
        <w:tc>
          <w:tcPr>
            <w:tcW w:w="3969" w:type="dxa"/>
          </w:tcPr>
          <w:p w:rsidR="00FB6D1F" w:rsidRPr="00F04BDC" w:rsidRDefault="00FB6D1F"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tỉnh Hưng Yên</w:t>
            </w:r>
          </w:p>
          <w:p w:rsidR="00FB6D1F" w:rsidRPr="00F04BDC" w:rsidRDefault="00FB6D1F"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Trụ sở chính: Số 2, đường Chùa Chuông, phường Phố Hiến, tỉnh Hưng Yên</w:t>
            </w:r>
          </w:p>
          <w:p w:rsidR="00FB6D1F" w:rsidRPr="00F04BDC" w:rsidRDefault="00FB6D1F"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Cơ sở 2: Nhà triển lãm thông tin, phường Thái Bình, tỉnh Hưng Yên</w:t>
            </w:r>
          </w:p>
          <w:p w:rsidR="00FB6D1F" w:rsidRPr="007959DE" w:rsidRDefault="00FB6D1F" w:rsidP="00215971">
            <w:pPr>
              <w:tabs>
                <w:tab w:val="left" w:pos="3090"/>
              </w:tabs>
              <w:spacing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9" w:type="dxa"/>
          </w:tcPr>
          <w:p w:rsidR="00FB6D1F" w:rsidRPr="007959DE" w:rsidRDefault="00FB6D1F" w:rsidP="00215971">
            <w:pPr>
              <w:spacing w:afterLines="60" w:after="144"/>
              <w:rPr>
                <w:rFonts w:eastAsia="Calibri" w:cs="Times New Roman"/>
                <w:color w:val="000000"/>
                <w:sz w:val="26"/>
                <w:szCs w:val="26"/>
              </w:rPr>
            </w:pPr>
            <w:r w:rsidRPr="007959DE">
              <w:rPr>
                <w:rFonts w:eastAsia="Calibri" w:cs="Times New Roman"/>
                <w:color w:val="000000"/>
                <w:sz w:val="26"/>
                <w:szCs w:val="26"/>
              </w:rPr>
              <w:t>x</w:t>
            </w:r>
          </w:p>
        </w:tc>
        <w:tc>
          <w:tcPr>
            <w:tcW w:w="918" w:type="dxa"/>
          </w:tcPr>
          <w:p w:rsidR="00FB6D1F" w:rsidRPr="007959DE" w:rsidRDefault="00FB6D1F" w:rsidP="00215971">
            <w:pPr>
              <w:spacing w:afterLines="60" w:after="144"/>
              <w:rPr>
                <w:rFonts w:eastAsia="Calibri" w:cs="Times New Roman"/>
                <w:color w:val="000000"/>
                <w:sz w:val="26"/>
                <w:szCs w:val="26"/>
              </w:rPr>
            </w:pPr>
          </w:p>
        </w:tc>
        <w:tc>
          <w:tcPr>
            <w:tcW w:w="5462" w:type="dxa"/>
          </w:tcPr>
          <w:p w:rsidR="00FB6D1F" w:rsidRDefault="00FB6D1F" w:rsidP="00215971">
            <w:pPr>
              <w:shd w:val="clear" w:color="auto" w:fill="FFFFFF"/>
              <w:spacing w:after="60"/>
              <w:rPr>
                <w:sz w:val="26"/>
                <w:szCs w:val="26"/>
              </w:rPr>
            </w:pPr>
            <w:r>
              <w:rPr>
                <w:sz w:val="26"/>
                <w:szCs w:val="26"/>
              </w:rPr>
              <w:t xml:space="preserve">- </w:t>
            </w:r>
            <w:r w:rsidRPr="005B2FDC">
              <w:rPr>
                <w:sz w:val="26"/>
                <w:szCs w:val="26"/>
              </w:rPr>
              <w:t>Nghị quyết số 66.7/2025/NQ-CP ngày 15 tháng 11 năm 2025 của Chính phủ quy định cắt giảm, đơn giản hóa thủ tục hành chính dựa trên dữ liệu</w:t>
            </w:r>
            <w:r>
              <w:rPr>
                <w:sz w:val="26"/>
                <w:szCs w:val="26"/>
              </w:rPr>
              <w:t>;</w:t>
            </w:r>
          </w:p>
          <w:p w:rsidR="00FB6D1F" w:rsidRPr="007959DE" w:rsidRDefault="00FB6D1F" w:rsidP="00215971">
            <w:pPr>
              <w:shd w:val="clear" w:color="auto" w:fill="FFFFFF"/>
              <w:spacing w:after="60"/>
              <w:rPr>
                <w:rFonts w:ascii="Arial" w:eastAsia="Times New Roman" w:hAnsi="Arial" w:cs="Arial"/>
                <w:color w:val="333333"/>
                <w:sz w:val="21"/>
                <w:szCs w:val="21"/>
              </w:rPr>
            </w:pPr>
            <w:r>
              <w:rPr>
                <w:sz w:val="26"/>
                <w:szCs w:val="26"/>
              </w:rPr>
              <w:t xml:space="preserve">- </w:t>
            </w:r>
            <w:r w:rsidRPr="00DE1317">
              <w:rPr>
                <w:sz w:val="26"/>
                <w:szCs w:val="26"/>
              </w:rPr>
              <w:t>Quyết định số 3713/QĐ-BTP ngày 26/12/2025 của Bộ trưởng Bộ Tư pháp về việc công bố thủ tục hành chính được sửa đổi, bổ sung trong lĩnh vực quốc tịch thuộc phạm vi chức năng quản lý của Bộ Tư pháp</w:t>
            </w:r>
            <w:r>
              <w:rPr>
                <w:sz w:val="26"/>
                <w:szCs w:val="26"/>
              </w:rPr>
              <w:t>.</w:t>
            </w:r>
          </w:p>
        </w:tc>
      </w:tr>
      <w:tr w:rsidR="00FB6D1F" w:rsidRPr="007959DE" w:rsidTr="00DE1317">
        <w:trPr>
          <w:trHeight w:val="152"/>
        </w:trPr>
        <w:tc>
          <w:tcPr>
            <w:tcW w:w="566" w:type="dxa"/>
          </w:tcPr>
          <w:p w:rsidR="00FB6D1F" w:rsidRDefault="00FB6D1F" w:rsidP="00215971">
            <w:pPr>
              <w:spacing w:afterLines="60" w:after="144"/>
              <w:rPr>
                <w:rFonts w:eastAsia="Calibri" w:cs="Times New Roman"/>
                <w:color w:val="000000"/>
                <w:sz w:val="26"/>
                <w:szCs w:val="26"/>
              </w:rPr>
            </w:pPr>
            <w:r>
              <w:rPr>
                <w:rFonts w:eastAsia="Calibri" w:cs="Times New Roman"/>
                <w:color w:val="000000"/>
                <w:sz w:val="26"/>
                <w:szCs w:val="26"/>
              </w:rPr>
              <w:t>5</w:t>
            </w:r>
          </w:p>
        </w:tc>
        <w:tc>
          <w:tcPr>
            <w:tcW w:w="1191" w:type="dxa"/>
          </w:tcPr>
          <w:p w:rsidR="00FB6D1F" w:rsidRPr="005B2FDC" w:rsidRDefault="00FB6D1F" w:rsidP="00215971">
            <w:pPr>
              <w:spacing w:afterLines="300" w:after="720"/>
              <w:rPr>
                <w:sz w:val="26"/>
                <w:szCs w:val="26"/>
              </w:rPr>
            </w:pPr>
            <w:r w:rsidRPr="00DE1317">
              <w:rPr>
                <w:sz w:val="26"/>
                <w:szCs w:val="26"/>
              </w:rPr>
              <w:t>1.005136</w:t>
            </w:r>
          </w:p>
        </w:tc>
        <w:tc>
          <w:tcPr>
            <w:tcW w:w="1787" w:type="dxa"/>
          </w:tcPr>
          <w:p w:rsidR="00FB6D1F" w:rsidRPr="005B2FDC" w:rsidRDefault="00FB6D1F" w:rsidP="00215971">
            <w:pPr>
              <w:spacing w:after="60"/>
              <w:rPr>
                <w:sz w:val="26"/>
                <w:szCs w:val="26"/>
              </w:rPr>
            </w:pPr>
            <w:r w:rsidRPr="00DE1317">
              <w:rPr>
                <w:sz w:val="26"/>
                <w:szCs w:val="26"/>
              </w:rPr>
              <w:t>Thủ tục cấp Giấy xác nhận có quốc tịch Việt Nam ở trong nước</w:t>
            </w:r>
          </w:p>
        </w:tc>
        <w:tc>
          <w:tcPr>
            <w:tcW w:w="3969" w:type="dxa"/>
          </w:tcPr>
          <w:p w:rsidR="00FB6D1F" w:rsidRPr="00F04BDC" w:rsidRDefault="00FB6D1F"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tỉnh Hưng Yên</w:t>
            </w:r>
          </w:p>
          <w:p w:rsidR="00FB6D1F" w:rsidRPr="00F04BDC" w:rsidRDefault="00FB6D1F"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Trụ sở chính: Số 2, đường Chùa Chuông, phường Phố Hiến, tỉnh Hưng Yên</w:t>
            </w:r>
          </w:p>
          <w:p w:rsidR="00FB6D1F" w:rsidRPr="00F04BDC" w:rsidRDefault="00FB6D1F" w:rsidP="00215971">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Cơ sở 2: Nhà triển lãm thông tin, phường Thái Bình, tỉnh Hưng Yên</w:t>
            </w:r>
          </w:p>
          <w:p w:rsidR="00FB6D1F" w:rsidRPr="007959DE" w:rsidRDefault="00FB6D1F" w:rsidP="00215971">
            <w:pPr>
              <w:tabs>
                <w:tab w:val="left" w:pos="3090"/>
              </w:tabs>
              <w:spacing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9" w:type="dxa"/>
          </w:tcPr>
          <w:p w:rsidR="00FB6D1F" w:rsidRPr="007959DE" w:rsidRDefault="00FB6D1F" w:rsidP="00215971">
            <w:pPr>
              <w:spacing w:afterLines="60" w:after="144"/>
              <w:rPr>
                <w:rFonts w:eastAsia="Calibri" w:cs="Times New Roman"/>
                <w:color w:val="000000"/>
                <w:sz w:val="26"/>
                <w:szCs w:val="26"/>
              </w:rPr>
            </w:pPr>
            <w:r w:rsidRPr="007959DE">
              <w:rPr>
                <w:rFonts w:eastAsia="Calibri" w:cs="Times New Roman"/>
                <w:color w:val="000000"/>
                <w:sz w:val="26"/>
                <w:szCs w:val="26"/>
              </w:rPr>
              <w:t>x</w:t>
            </w:r>
          </w:p>
        </w:tc>
        <w:tc>
          <w:tcPr>
            <w:tcW w:w="918" w:type="dxa"/>
          </w:tcPr>
          <w:p w:rsidR="00FB6D1F" w:rsidRPr="007959DE" w:rsidRDefault="00FB6D1F" w:rsidP="00215971">
            <w:pPr>
              <w:spacing w:afterLines="60" w:after="144"/>
              <w:rPr>
                <w:rFonts w:eastAsia="Calibri" w:cs="Times New Roman"/>
                <w:color w:val="000000"/>
                <w:sz w:val="26"/>
                <w:szCs w:val="26"/>
              </w:rPr>
            </w:pPr>
          </w:p>
        </w:tc>
        <w:tc>
          <w:tcPr>
            <w:tcW w:w="5462" w:type="dxa"/>
          </w:tcPr>
          <w:p w:rsidR="00FB6D1F" w:rsidRDefault="00FB6D1F" w:rsidP="00215971">
            <w:pPr>
              <w:shd w:val="clear" w:color="auto" w:fill="FFFFFF"/>
              <w:spacing w:after="60"/>
              <w:rPr>
                <w:sz w:val="26"/>
                <w:szCs w:val="26"/>
              </w:rPr>
            </w:pPr>
            <w:r>
              <w:rPr>
                <w:sz w:val="26"/>
                <w:szCs w:val="26"/>
              </w:rPr>
              <w:t xml:space="preserve">- </w:t>
            </w:r>
            <w:r w:rsidRPr="005B2FDC">
              <w:rPr>
                <w:sz w:val="26"/>
                <w:szCs w:val="26"/>
              </w:rPr>
              <w:t>Nghị quyết số 66.7/2025/NQ-CP ngày 15 tháng 11 năm 2025 của Chính phủ quy định cắt giảm, đơn giản hóa thủ tục hành chính dựa trên dữ liệu</w:t>
            </w:r>
            <w:r>
              <w:rPr>
                <w:sz w:val="26"/>
                <w:szCs w:val="26"/>
              </w:rPr>
              <w:t>;</w:t>
            </w:r>
          </w:p>
          <w:p w:rsidR="00FB6D1F" w:rsidRPr="007959DE" w:rsidRDefault="00FB6D1F" w:rsidP="00215971">
            <w:pPr>
              <w:shd w:val="clear" w:color="auto" w:fill="FFFFFF"/>
              <w:spacing w:after="60"/>
              <w:rPr>
                <w:rFonts w:ascii="Arial" w:eastAsia="Times New Roman" w:hAnsi="Arial" w:cs="Arial"/>
                <w:color w:val="333333"/>
                <w:sz w:val="21"/>
                <w:szCs w:val="21"/>
              </w:rPr>
            </w:pPr>
            <w:r>
              <w:rPr>
                <w:sz w:val="26"/>
                <w:szCs w:val="26"/>
              </w:rPr>
              <w:t xml:space="preserve">- </w:t>
            </w:r>
            <w:r w:rsidRPr="00DE1317">
              <w:rPr>
                <w:sz w:val="26"/>
                <w:szCs w:val="26"/>
              </w:rPr>
              <w:t>Quyết định số 3713/QĐ-BTP ngày 26/12/2025 của Bộ trưởng Bộ Tư pháp về việc công bố thủ tục hành chính được sửa đổi, bổ sung trong lĩnh vực quốc tịch thuộc phạm vi chức năng quản lý của Bộ Tư pháp</w:t>
            </w:r>
            <w:r>
              <w:rPr>
                <w:sz w:val="26"/>
                <w:szCs w:val="26"/>
              </w:rPr>
              <w:t>.</w:t>
            </w:r>
          </w:p>
        </w:tc>
      </w:tr>
    </w:tbl>
    <w:p w:rsidR="001832B8" w:rsidRDefault="001832B8" w:rsidP="00FB6D1F">
      <w:pPr>
        <w:spacing w:before="120" w:after="120" w:line="240" w:lineRule="auto"/>
        <w:ind w:firstLine="567"/>
      </w:pPr>
    </w:p>
    <w:sectPr w:rsidR="001832B8" w:rsidSect="003778F6">
      <w:headerReference w:type="default" r:id="rId5"/>
      <w:pgSz w:w="16840" w:h="11907" w:orient="landscape" w:code="9"/>
      <w:pgMar w:top="1134" w:right="1134" w:bottom="1134" w:left="1134" w:header="454"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8745507"/>
      <w:docPartObj>
        <w:docPartGallery w:val="Page Numbers (Top of Page)"/>
        <w:docPartUnique/>
      </w:docPartObj>
    </w:sdtPr>
    <w:sdtEndPr>
      <w:rPr>
        <w:noProof/>
      </w:rPr>
    </w:sdtEndPr>
    <w:sdtContent>
      <w:p w:rsidR="00121349" w:rsidRDefault="000C375C">
        <w:pPr>
          <w:pStyle w:val="Header"/>
          <w:jc w:val="center"/>
        </w:pPr>
        <w:r>
          <w:fldChar w:fldCharType="begin"/>
        </w:r>
        <w:r>
          <w:instrText xml:space="preserve"> PAGE   \* MERGEFORMAT </w:instrText>
        </w:r>
        <w:r>
          <w:fldChar w:fldCharType="separate"/>
        </w:r>
        <w:r w:rsidR="00FB6D1F">
          <w:rPr>
            <w:noProof/>
          </w:rPr>
          <w:t>2</w:t>
        </w:r>
        <w:r>
          <w:rPr>
            <w:noProof/>
          </w:rPr>
          <w:fldChar w:fldCharType="end"/>
        </w:r>
      </w:p>
    </w:sdtContent>
  </w:sdt>
  <w:p w:rsidR="00121349" w:rsidRDefault="000C37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317"/>
    <w:rsid w:val="00025254"/>
    <w:rsid w:val="000C375C"/>
    <w:rsid w:val="001832B8"/>
    <w:rsid w:val="00DE1317"/>
    <w:rsid w:val="00FB6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3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E13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1317"/>
  </w:style>
  <w:style w:type="table" w:styleId="TableGrid">
    <w:name w:val="Table Grid"/>
    <w:basedOn w:val="TableNormal"/>
    <w:uiPriority w:val="59"/>
    <w:rsid w:val="00DE131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3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E13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1317"/>
  </w:style>
  <w:style w:type="table" w:styleId="TableGrid">
    <w:name w:val="Table Grid"/>
    <w:basedOn w:val="TableNormal"/>
    <w:uiPriority w:val="59"/>
    <w:rsid w:val="00DE131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2025-12-31T02:27:00Z</dcterms:created>
  <dcterms:modified xsi:type="dcterms:W3CDTF">2025-12-31T02:43:00Z</dcterms:modified>
</cp:coreProperties>
</file>